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E70E54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File name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Caption</w:t>
            </w:r>
          </w:p>
        </w:tc>
      </w:tr>
      <w:tr w:rsidR="00D96EF3" w:rsidRPr="002F31D5" w14:paraId="7975E73D" w14:textId="77777777" w:rsidTr="00E70E54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029F74A8" w:rsidR="0071666D" w:rsidRPr="001B7EA4" w:rsidRDefault="003A4936" w:rsidP="009C0E66">
            <w:pPr>
              <w:rPr>
                <w:rFonts w:cs="Arial"/>
              </w:rPr>
            </w:pPr>
            <w:r>
              <w:pict w14:anchorId="7BE10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i1025" type="#_x0000_t75" alt="" style="width:127.5pt;height:85.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4AACD4A3" w14:textId="370DCD9B" w:rsidR="00D96EF3" w:rsidRPr="001B7EA4" w:rsidRDefault="00530BA6" w:rsidP="009C0E66">
            <w:pPr>
              <w:rPr>
                <w:rFonts w:cs="Arial"/>
              </w:rPr>
            </w:pPr>
            <w:r>
              <w:t>RichardBrink_CarlsCube_01.jpg</w:t>
            </w:r>
          </w:p>
          <w:p w14:paraId="63665265" w14:textId="77777777" w:rsidR="00D96EF3" w:rsidRDefault="00D96EF3" w:rsidP="009C0E66">
            <w:pPr>
              <w:rPr>
                <w:rFonts w:cs="Arial"/>
                <w:szCs w:val="22"/>
              </w:rPr>
            </w:pPr>
          </w:p>
          <w:p w14:paraId="6773DD15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F39AFEB" w14:textId="7414AA09" w:rsidR="00522C70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Karlsruhe wholesale market is now home to </w:t>
            </w:r>
            <w:proofErr w:type="spellStart"/>
            <w:r>
              <w:rPr>
                <w:color w:val="000000"/>
                <w:szCs w:val="22"/>
              </w:rPr>
              <w:t>CarlsCube</w:t>
            </w:r>
            <w:proofErr w:type="spellEnd"/>
            <w:r>
              <w:rPr>
                <w:color w:val="000000"/>
                <w:szCs w:val="22"/>
              </w:rPr>
              <w:t xml:space="preserve">, a building that stands out primarily for its </w:t>
            </w:r>
            <w:r w:rsidR="007D4014">
              <w:rPr>
                <w:color w:val="000000"/>
                <w:szCs w:val="22"/>
              </w:rPr>
              <w:t xml:space="preserve">unique </w:t>
            </w:r>
            <w:r>
              <w:rPr>
                <w:color w:val="000000"/>
                <w:szCs w:val="22"/>
              </w:rPr>
              <w:t xml:space="preserve">design and façade structure </w:t>
            </w:r>
            <w:r w:rsidR="009E7452">
              <w:rPr>
                <w:color w:val="000000"/>
                <w:szCs w:val="22"/>
              </w:rPr>
              <w:t>while</w:t>
            </w:r>
            <w:r>
              <w:rPr>
                <w:color w:val="000000"/>
                <w:szCs w:val="22"/>
              </w:rPr>
              <w:t xml:space="preserve"> combin</w:t>
            </w:r>
            <w:r w:rsidR="009E7452">
              <w:rPr>
                <w:color w:val="000000"/>
                <w:szCs w:val="22"/>
              </w:rPr>
              <w:t>ing</w:t>
            </w:r>
            <w:r>
              <w:rPr>
                <w:color w:val="000000"/>
                <w:szCs w:val="22"/>
              </w:rPr>
              <w:t xml:space="preserve"> spatial flexibility with maximum energy efficiency.</w:t>
            </w:r>
          </w:p>
          <w:p w14:paraId="3D2F6954" w14:textId="77777777" w:rsidR="002F31D5" w:rsidRPr="001B7EA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77777777" w:rsidR="00D96EF3" w:rsidRPr="002553C9" w:rsidRDefault="00D96EF3" w:rsidP="009C0E66">
            <w:r>
              <w:t xml:space="preserve">Photo: Richard Brink GmbH &amp; Co. KG </w:t>
            </w:r>
          </w:p>
          <w:p w14:paraId="095ABF9F" w14:textId="77777777" w:rsidR="00D96EF3" w:rsidRPr="002553C9" w:rsidRDefault="00D96EF3" w:rsidP="009C0E66">
            <w:pPr>
              <w:rPr>
                <w:lang w:val="en-US"/>
              </w:rPr>
            </w:pPr>
          </w:p>
        </w:tc>
      </w:tr>
      <w:tr w:rsidR="002631B2" w:rsidRPr="002553C9" w14:paraId="652D0D29" w14:textId="77777777" w:rsidTr="00E70E54">
        <w:trPr>
          <w:trHeight w:val="2605"/>
        </w:trPr>
        <w:tc>
          <w:tcPr>
            <w:tcW w:w="2686" w:type="dxa"/>
          </w:tcPr>
          <w:p w14:paraId="3B34FD01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7ADAF44A" w14:textId="4BCA18E6" w:rsidR="002631B2" w:rsidRPr="001B7EA4" w:rsidRDefault="003A4936" w:rsidP="009C0E66">
            <w:pPr>
              <w:rPr>
                <w:rFonts w:cs="Arial"/>
              </w:rPr>
            </w:pPr>
            <w:r>
              <w:pict w14:anchorId="453CE280">
                <v:shape id="Grafik 13" o:spid="_x0000_i1026" type="#_x0000_t75" alt="" style="width:127.5pt;height:85.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5B37410C" w:rsidR="002631B2" w:rsidRPr="001B7EA4" w:rsidRDefault="00530BA6" w:rsidP="009C0E66">
            <w:pPr>
              <w:rPr>
                <w:rFonts w:cs="Arial"/>
              </w:rPr>
            </w:pPr>
            <w:r>
              <w:t>RichardBrink_CarlsCube_02.jpg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45758B3" w14:textId="47ABB718" w:rsidR="00522C70" w:rsidRDefault="002F31D5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modern office complex </w:t>
            </w:r>
            <w:r w:rsidR="007C641E">
              <w:rPr>
                <w:color w:val="000000"/>
                <w:szCs w:val="22"/>
              </w:rPr>
              <w:t>has</w:t>
            </w:r>
            <w:r>
              <w:rPr>
                <w:color w:val="000000"/>
                <w:szCs w:val="22"/>
              </w:rPr>
              <w:t xml:space="preserve"> two terrace</w:t>
            </w:r>
            <w:r w:rsidR="00D60719">
              <w:rPr>
                <w:color w:val="000000"/>
                <w:szCs w:val="22"/>
              </w:rPr>
              <w:t xml:space="preserve"> area</w:t>
            </w:r>
            <w:r>
              <w:rPr>
                <w:color w:val="000000"/>
                <w:szCs w:val="22"/>
              </w:rPr>
              <w:t xml:space="preserve">s, which </w:t>
            </w:r>
            <w:r w:rsidR="00D60719">
              <w:rPr>
                <w:color w:val="000000"/>
                <w:szCs w:val="22"/>
              </w:rPr>
              <w:t>feature</w:t>
            </w:r>
            <w:r>
              <w:rPr>
                <w:color w:val="000000"/>
                <w:szCs w:val="22"/>
              </w:rPr>
              <w:t xml:space="preserve"> raised beds made from COR-TEN steel provided by the company Richard Brink.</w:t>
            </w:r>
          </w:p>
          <w:p w14:paraId="18413D91" w14:textId="77777777" w:rsidR="002F31D5" w:rsidRPr="001B7EA4" w:rsidRDefault="002F31D5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2631B2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5FB8D92D" w14:textId="77777777" w:rsidR="000A64AA" w:rsidRPr="002553C9" w:rsidRDefault="000A64AA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1708863" w14:textId="77777777" w:rsidR="002631B2" w:rsidRPr="002553C9" w:rsidRDefault="002631B2" w:rsidP="009C0E66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2631B2" w:rsidRPr="002553C9" w14:paraId="0F47C2ED" w14:textId="77777777" w:rsidTr="00E70E54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  <w:lang w:val="en-US"/>
              </w:rPr>
            </w:pPr>
          </w:p>
          <w:p w14:paraId="2E729725" w14:textId="44A27C9B" w:rsidR="002631B2" w:rsidRDefault="003A4936" w:rsidP="009C0E66">
            <w:pPr>
              <w:rPr>
                <w:rFonts w:cs="Arial"/>
              </w:rPr>
            </w:pPr>
            <w:r>
              <w:pict w14:anchorId="7A4F05E8">
                <v:shape id="Grafik 14" o:spid="_x0000_i1027" type="#_x0000_t75" alt="" style="width:127.5pt;height:85.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78E12A13" w14:textId="5F76665E" w:rsidR="00CB6121" w:rsidRPr="001B7EA4" w:rsidRDefault="00530BA6" w:rsidP="009C0E66">
            <w:pPr>
              <w:rPr>
                <w:rFonts w:cs="Arial"/>
              </w:rPr>
            </w:pPr>
            <w:r>
              <w:t>RichardBrink_CarlsCube_03.jpg</w:t>
            </w:r>
          </w:p>
          <w:p w14:paraId="7118054C" w14:textId="77777777" w:rsidR="002631B2" w:rsidRDefault="002631B2" w:rsidP="009C0E66">
            <w:pPr>
              <w:rPr>
                <w:rFonts w:cs="Arial"/>
              </w:rPr>
            </w:pPr>
          </w:p>
          <w:p w14:paraId="4190321D" w14:textId="77777777" w:rsidR="00341069" w:rsidRDefault="00341069" w:rsidP="009C0E66">
            <w:pPr>
              <w:rPr>
                <w:rFonts w:cs="Arial"/>
              </w:rPr>
            </w:pP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445084F" w14:textId="0A64C077" w:rsidR="000A611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Seating was added to one of the raised bed</w:t>
            </w:r>
            <w:r w:rsidR="008C77EF">
              <w:rPr>
                <w:color w:val="000000"/>
                <w:szCs w:val="22"/>
              </w:rPr>
              <w:t xml:space="preserve"> structure</w:t>
            </w:r>
            <w:r>
              <w:rPr>
                <w:color w:val="000000"/>
                <w:szCs w:val="22"/>
              </w:rPr>
              <w:t>s</w:t>
            </w:r>
            <w:r w:rsidR="008C77EF">
              <w:rPr>
                <w:color w:val="000000"/>
                <w:szCs w:val="22"/>
              </w:rPr>
              <w:t xml:space="preserve"> so as</w:t>
            </w:r>
            <w:r>
              <w:rPr>
                <w:color w:val="000000"/>
                <w:szCs w:val="22"/>
              </w:rPr>
              <w:t xml:space="preserve"> to make the space as enjoyable as possible for </w:t>
            </w:r>
            <w:r w:rsidR="00507851">
              <w:rPr>
                <w:color w:val="000000"/>
                <w:szCs w:val="22"/>
              </w:rPr>
              <w:t xml:space="preserve">the </w:t>
            </w:r>
            <w:r>
              <w:rPr>
                <w:color w:val="000000"/>
                <w:szCs w:val="22"/>
              </w:rPr>
              <w:t>buildin</w:t>
            </w:r>
            <w:r w:rsidR="00507851">
              <w:rPr>
                <w:color w:val="000000"/>
                <w:szCs w:val="22"/>
              </w:rPr>
              <w:t>g’s users</w:t>
            </w:r>
            <w:r>
              <w:rPr>
                <w:color w:val="000000"/>
                <w:szCs w:val="22"/>
              </w:rPr>
              <w:t xml:space="preserve">. The front of each seat </w:t>
            </w:r>
            <w:r w:rsidR="00080678">
              <w:rPr>
                <w:color w:val="000000"/>
                <w:szCs w:val="22"/>
              </w:rPr>
              <w:t xml:space="preserve">is </w:t>
            </w:r>
            <w:r>
              <w:rPr>
                <w:color w:val="000000"/>
                <w:szCs w:val="22"/>
              </w:rPr>
              <w:t>align</w:t>
            </w:r>
            <w:r w:rsidR="00080678">
              <w:rPr>
                <w:color w:val="000000"/>
                <w:szCs w:val="22"/>
              </w:rPr>
              <w:t>ed</w:t>
            </w:r>
            <w:r>
              <w:rPr>
                <w:color w:val="000000"/>
                <w:szCs w:val="22"/>
              </w:rPr>
              <w:t xml:space="preserve"> with the top of the raised bed structure.</w:t>
            </w:r>
          </w:p>
          <w:p w14:paraId="503336E4" w14:textId="77777777" w:rsidR="002F31D5" w:rsidRPr="001B7EA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2F31D5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5FF12164" w14:textId="77777777" w:rsidR="00BF69D9" w:rsidRPr="002F31D5" w:rsidRDefault="00BF69D9" w:rsidP="009C0E66"/>
          <w:p w14:paraId="409AD770" w14:textId="77777777" w:rsidR="00BF69D9" w:rsidRPr="002F31D5" w:rsidRDefault="00BF69D9" w:rsidP="009C0E66">
            <w:pPr>
              <w:tabs>
                <w:tab w:val="left" w:pos="1080"/>
              </w:tabs>
            </w:pPr>
          </w:p>
        </w:tc>
      </w:tr>
      <w:tr w:rsidR="005F7840" w:rsidRPr="002553C9" w14:paraId="1DD540FC" w14:textId="77777777" w:rsidTr="00E70E54">
        <w:trPr>
          <w:trHeight w:val="2605"/>
        </w:trPr>
        <w:tc>
          <w:tcPr>
            <w:tcW w:w="2686" w:type="dxa"/>
          </w:tcPr>
          <w:p w14:paraId="4F0DAC67" w14:textId="77777777" w:rsidR="005F7840" w:rsidRPr="002F31D5" w:rsidRDefault="005F7840" w:rsidP="009C0E66">
            <w:pPr>
              <w:rPr>
                <w:rFonts w:cs="Arial"/>
              </w:rPr>
            </w:pPr>
          </w:p>
          <w:p w14:paraId="5A9BCEFF" w14:textId="2335BCB4" w:rsidR="005F7840" w:rsidRPr="001B7EA4" w:rsidRDefault="003A4936" w:rsidP="009C0E66">
            <w:pPr>
              <w:rPr>
                <w:rFonts w:cs="Arial"/>
              </w:rPr>
            </w:pPr>
            <w:r>
              <w:pict w14:anchorId="643A149D">
                <v:shape id="Grafik 15" o:spid="_x0000_i1028" type="#_x0000_t75" alt="" style="width:127.5pt;height:85.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Default="005F7840" w:rsidP="009C0E66">
            <w:pPr>
              <w:rPr>
                <w:rFonts w:cs="Arial"/>
              </w:rPr>
            </w:pPr>
          </w:p>
          <w:p w14:paraId="70C3ED7A" w14:textId="38286643" w:rsidR="005F7840" w:rsidRPr="001B7EA4" w:rsidRDefault="00530BA6" w:rsidP="009C0E66">
            <w:pPr>
              <w:rPr>
                <w:rFonts w:cs="Arial"/>
              </w:rPr>
            </w:pPr>
            <w:r>
              <w:t>RichardBrink_CarlsCube_04.jpg</w:t>
            </w:r>
          </w:p>
          <w:p w14:paraId="277A6040" w14:textId="77777777" w:rsidR="005F7840" w:rsidRPr="001B7EA4" w:rsidRDefault="005F7840" w:rsidP="009C0E66">
            <w:pPr>
              <w:rPr>
                <w:rFonts w:cs="Arial"/>
              </w:rPr>
            </w:pPr>
          </w:p>
          <w:p w14:paraId="1CCB45B4" w14:textId="77777777" w:rsidR="005F7840" w:rsidRPr="001B7EA4" w:rsidRDefault="005F7840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2252A3B" w14:textId="00858465" w:rsidR="000A611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generously proportioned, modular plant systems were custom made and ensure maximum stability, enabling them to hold even high volumes of soil.</w:t>
            </w:r>
          </w:p>
          <w:p w14:paraId="1D34B8C9" w14:textId="77777777" w:rsidR="00E060E3" w:rsidRPr="001B7EA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6D1E363" w14:textId="77777777" w:rsidR="005F7840" w:rsidRPr="002F31D5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4D0D3185" w14:textId="77777777" w:rsidR="000A64AA" w:rsidRPr="002F31D5" w:rsidRDefault="000A64A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E318C04" w14:textId="77777777" w:rsidR="000A64AA" w:rsidRPr="002F31D5" w:rsidRDefault="000A64A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C4912" w:rsidRPr="00530BA6" w14:paraId="335AEBD5" w14:textId="77777777" w:rsidTr="00E70E54">
        <w:trPr>
          <w:trHeight w:val="2605"/>
        </w:trPr>
        <w:tc>
          <w:tcPr>
            <w:tcW w:w="2686" w:type="dxa"/>
          </w:tcPr>
          <w:p w14:paraId="192ABA9F" w14:textId="77777777" w:rsidR="008C4912" w:rsidRPr="002F31D5" w:rsidRDefault="008C4912" w:rsidP="009C0E66">
            <w:pPr>
              <w:rPr>
                <w:rFonts w:cs="Arial"/>
              </w:rPr>
            </w:pPr>
          </w:p>
          <w:p w14:paraId="17462CA6" w14:textId="12479AFB" w:rsidR="0044778E" w:rsidRPr="0044778E" w:rsidRDefault="003A4936" w:rsidP="0044778E">
            <w:pPr>
              <w:rPr>
                <w:rFonts w:cs="Arial"/>
              </w:rPr>
            </w:pPr>
            <w:r>
              <w:pict w14:anchorId="62C748FA">
                <v:shape id="Grafik 16" o:spid="_x0000_i1029" type="#_x0000_t75" alt="" style="width:127.5pt;height:191.2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73408873" w14:textId="7D78AD34" w:rsidR="008C4912" w:rsidRPr="001B7EA4" w:rsidRDefault="00530BA6" w:rsidP="009C0E66">
            <w:pPr>
              <w:rPr>
                <w:rFonts w:cs="Arial"/>
              </w:rPr>
            </w:pPr>
            <w:r>
              <w:t>RichardBrink_CarlsCube_05.jpg</w:t>
            </w:r>
          </w:p>
          <w:p w14:paraId="0DBF8650" w14:textId="77777777" w:rsidR="008C4912" w:rsidRPr="001B7EA4" w:rsidRDefault="008C4912" w:rsidP="009C0E66">
            <w:pPr>
              <w:rPr>
                <w:rFonts w:cs="Arial"/>
              </w:rPr>
            </w:pPr>
          </w:p>
          <w:p w14:paraId="07905926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3CEDAF54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A39FDB6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179D832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48259041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FD2A490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98589A" w14:textId="7C6ED950" w:rsidR="000A611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Stainless steel Stabile drainage channels were also used, providing a reliable dewatering solution along the terraces’ glass façades.</w:t>
            </w:r>
          </w:p>
          <w:p w14:paraId="6F4DE6C7" w14:textId="77777777" w:rsidR="00E060E3" w:rsidRPr="001B7EA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397407C5" w14:textId="77777777" w:rsidR="0044778E" w:rsidRPr="002553C9" w:rsidRDefault="0044778E" w:rsidP="0044778E">
            <w:pPr>
              <w:rPr>
                <w:lang w:val="en-US"/>
              </w:rPr>
            </w:pPr>
          </w:p>
        </w:tc>
      </w:tr>
      <w:tr w:rsidR="002553C9" w:rsidRPr="002553C9" w14:paraId="26F5D659" w14:textId="77777777" w:rsidTr="00E70E54">
        <w:trPr>
          <w:trHeight w:val="2605"/>
        </w:trPr>
        <w:tc>
          <w:tcPr>
            <w:tcW w:w="2686" w:type="dxa"/>
          </w:tcPr>
          <w:p w14:paraId="421606FF" w14:textId="77777777" w:rsidR="002553C9" w:rsidRPr="002553C9" w:rsidRDefault="002553C9" w:rsidP="00DE6F41">
            <w:pPr>
              <w:rPr>
                <w:rFonts w:cs="Arial"/>
                <w:lang w:val="en-US"/>
              </w:rPr>
            </w:pPr>
          </w:p>
          <w:p w14:paraId="62173C73" w14:textId="432FA258" w:rsidR="002553C9" w:rsidRPr="00530BA6" w:rsidRDefault="003A4936" w:rsidP="00DE6F41">
            <w:pPr>
              <w:rPr>
                <w:rFonts w:cs="Arial"/>
              </w:rPr>
            </w:pPr>
            <w:r>
              <w:pict w14:anchorId="1611C7EE">
                <v:shape id="Grafik 17" o:spid="_x0000_i1030" type="#_x0000_t75" alt="" style="width:127.5pt;height:191.2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3077037C" w14:textId="77777777" w:rsidR="002553C9" w:rsidRPr="00530BA6" w:rsidRDefault="002553C9" w:rsidP="00DE6F41">
            <w:pPr>
              <w:rPr>
                <w:rFonts w:cs="Arial"/>
                <w:lang w:val="en-US"/>
              </w:rPr>
            </w:pPr>
          </w:p>
          <w:p w14:paraId="60CD819D" w14:textId="7A4B76CB" w:rsidR="002553C9" w:rsidRPr="001B7EA4" w:rsidRDefault="00530BA6" w:rsidP="00DE6F41">
            <w:pPr>
              <w:rPr>
                <w:rFonts w:cs="Arial"/>
              </w:rPr>
            </w:pPr>
            <w:r>
              <w:t>RichardBrink_CarlsCube_06.jpg</w:t>
            </w:r>
          </w:p>
          <w:p w14:paraId="46F24E82" w14:textId="77777777" w:rsidR="002553C9" w:rsidRPr="001B7EA4" w:rsidRDefault="002553C9" w:rsidP="00DE6F41">
            <w:pPr>
              <w:rPr>
                <w:rFonts w:cs="Arial"/>
              </w:rPr>
            </w:pPr>
          </w:p>
          <w:p w14:paraId="58BAAF56" w14:textId="77777777" w:rsidR="002553C9" w:rsidRDefault="002553C9" w:rsidP="00DE6F41">
            <w:pPr>
              <w:rPr>
                <w:rFonts w:cs="Arial"/>
              </w:rPr>
            </w:pPr>
          </w:p>
          <w:p w14:paraId="0CE5557B" w14:textId="77777777" w:rsidR="002553C9" w:rsidRDefault="002553C9" w:rsidP="00DE6F41">
            <w:pPr>
              <w:rPr>
                <w:rFonts w:cs="Arial"/>
              </w:rPr>
            </w:pPr>
          </w:p>
          <w:p w14:paraId="550CFDFD" w14:textId="77777777" w:rsidR="002553C9" w:rsidRDefault="002553C9" w:rsidP="00DE6F41">
            <w:pPr>
              <w:rPr>
                <w:rFonts w:cs="Arial"/>
              </w:rPr>
            </w:pPr>
          </w:p>
          <w:p w14:paraId="6E78B67D" w14:textId="77777777" w:rsidR="002553C9" w:rsidRDefault="002553C9" w:rsidP="00DE6F41">
            <w:pPr>
              <w:rPr>
                <w:rFonts w:cs="Arial"/>
              </w:rPr>
            </w:pPr>
          </w:p>
          <w:p w14:paraId="27FDC29C" w14:textId="77777777" w:rsidR="002553C9" w:rsidRDefault="002553C9" w:rsidP="00DE6F41">
            <w:pPr>
              <w:rPr>
                <w:rFonts w:cs="Arial"/>
              </w:rPr>
            </w:pPr>
          </w:p>
          <w:p w14:paraId="4D1FB569" w14:textId="77777777" w:rsidR="002553C9" w:rsidRDefault="002553C9" w:rsidP="00DE6F41">
            <w:pPr>
              <w:rPr>
                <w:rFonts w:cs="Arial"/>
              </w:rPr>
            </w:pPr>
          </w:p>
          <w:p w14:paraId="547F55B5" w14:textId="77777777" w:rsidR="002553C9" w:rsidRDefault="002553C9" w:rsidP="00DE6F41">
            <w:pPr>
              <w:rPr>
                <w:rFonts w:cs="Arial"/>
              </w:rPr>
            </w:pPr>
          </w:p>
          <w:p w14:paraId="59065F41" w14:textId="77777777" w:rsidR="002553C9" w:rsidRDefault="002553C9" w:rsidP="00DE6F41">
            <w:pPr>
              <w:rPr>
                <w:rFonts w:cs="Arial"/>
              </w:rPr>
            </w:pPr>
          </w:p>
          <w:p w14:paraId="4B16C0D3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63AF9DC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096561A4" w14:textId="77777777" w:rsidR="00530BA6" w:rsidRDefault="00530BA6" w:rsidP="00530BA6">
            <w:pPr>
              <w:rPr>
                <w:rFonts w:cs="Arial"/>
              </w:rPr>
            </w:pPr>
          </w:p>
          <w:p w14:paraId="193454EF" w14:textId="77777777" w:rsidR="00530BA6" w:rsidRDefault="00530BA6" w:rsidP="00530BA6">
            <w:pPr>
              <w:rPr>
                <w:rFonts w:cs="Arial"/>
              </w:rPr>
            </w:pPr>
          </w:p>
          <w:p w14:paraId="3407F56B" w14:textId="115F89C0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05EDC98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51B6928" w14:textId="146E6F04" w:rsidR="00A314A6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channels were topped with stylish, timeless longitudinal bar gratings made from stainless steel.</w:t>
            </w:r>
          </w:p>
          <w:p w14:paraId="6BA5AF70" w14:textId="77777777" w:rsidR="00E060E3" w:rsidRPr="001B7EA4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9E1AE4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377A843B" w14:textId="77777777" w:rsidR="002553C9" w:rsidRPr="002553C9" w:rsidRDefault="002553C9" w:rsidP="00DE6F41">
            <w:pPr>
              <w:rPr>
                <w:lang w:val="en-US"/>
              </w:rPr>
            </w:pPr>
          </w:p>
          <w:p w14:paraId="722F9862" w14:textId="77777777" w:rsidR="002553C9" w:rsidRPr="002553C9" w:rsidRDefault="002553C9" w:rsidP="00DE6F41">
            <w:pPr>
              <w:rPr>
                <w:lang w:val="en-US"/>
              </w:rPr>
            </w:pPr>
          </w:p>
        </w:tc>
      </w:tr>
      <w:tr w:rsidR="002553C9" w:rsidRPr="00E060E3" w14:paraId="7F4C9E97" w14:textId="77777777" w:rsidTr="00E70E54">
        <w:trPr>
          <w:trHeight w:val="2605"/>
        </w:trPr>
        <w:tc>
          <w:tcPr>
            <w:tcW w:w="2686" w:type="dxa"/>
          </w:tcPr>
          <w:p w14:paraId="402CD9CA" w14:textId="77777777" w:rsidR="002553C9" w:rsidRPr="002553C9" w:rsidRDefault="002553C9" w:rsidP="00DE6F41">
            <w:pPr>
              <w:rPr>
                <w:rFonts w:cs="Arial"/>
                <w:lang w:val="en-US"/>
              </w:rPr>
            </w:pPr>
          </w:p>
          <w:p w14:paraId="13AC02D6" w14:textId="226D1E62" w:rsidR="002553C9" w:rsidRPr="0044778E" w:rsidRDefault="003A4936" w:rsidP="00DE6F41">
            <w:pPr>
              <w:rPr>
                <w:rFonts w:cs="Arial"/>
              </w:rPr>
            </w:pPr>
            <w:r>
              <w:pict w14:anchorId="5AEBC839">
                <v:shape id="Grafik 18" o:spid="_x0000_i1031" type="#_x0000_t75" alt="" style="width:127.5pt;height:85.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48F58729" w14:textId="77777777" w:rsidR="002553C9" w:rsidRDefault="002553C9" w:rsidP="00DE6F41">
            <w:pPr>
              <w:rPr>
                <w:rFonts w:cs="Arial"/>
              </w:rPr>
            </w:pPr>
          </w:p>
          <w:p w14:paraId="0E4F0B4F" w14:textId="2477ED90" w:rsidR="002553C9" w:rsidRPr="001B7EA4" w:rsidRDefault="00530BA6" w:rsidP="00DE6F41">
            <w:pPr>
              <w:rPr>
                <w:rFonts w:cs="Arial"/>
              </w:rPr>
            </w:pPr>
            <w:r>
              <w:t>RichardBrink_CarlsCube_07.jpg</w:t>
            </w:r>
          </w:p>
          <w:p w14:paraId="0971A042" w14:textId="77777777" w:rsidR="002553C9" w:rsidRPr="001B7EA4" w:rsidRDefault="002553C9" w:rsidP="00DE6F41">
            <w:pPr>
              <w:rPr>
                <w:rFonts w:cs="Arial"/>
              </w:rPr>
            </w:pPr>
          </w:p>
          <w:p w14:paraId="671DAD2F" w14:textId="77777777" w:rsidR="002553C9" w:rsidRDefault="002553C9" w:rsidP="00DE6F41">
            <w:pPr>
              <w:rPr>
                <w:rFonts w:cs="Arial"/>
              </w:rPr>
            </w:pPr>
          </w:p>
          <w:p w14:paraId="7889E087" w14:textId="77777777" w:rsidR="002553C9" w:rsidRDefault="002553C9" w:rsidP="00DE6F41">
            <w:pPr>
              <w:rPr>
                <w:rFonts w:cs="Arial"/>
              </w:rPr>
            </w:pPr>
          </w:p>
          <w:p w14:paraId="5C778FEE" w14:textId="77777777" w:rsidR="002553C9" w:rsidRDefault="002553C9" w:rsidP="00DE6F41">
            <w:pPr>
              <w:rPr>
                <w:rFonts w:cs="Arial"/>
              </w:rPr>
            </w:pPr>
          </w:p>
          <w:p w14:paraId="71D98516" w14:textId="77777777" w:rsidR="002553C9" w:rsidRPr="0044778E" w:rsidRDefault="002553C9" w:rsidP="00DE6F41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40D37ED9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F71D28" w14:textId="6606FE1B" w:rsidR="00A314A6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Drainage gullies help dewater the raised beds, among other things, which are exposed to high volumes of precipitation due to their exposed location.</w:t>
            </w:r>
          </w:p>
          <w:p w14:paraId="540901F6" w14:textId="77777777" w:rsidR="00E060E3" w:rsidRPr="001B7EA4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A264F3C" w14:textId="77777777" w:rsidR="002553C9" w:rsidRDefault="002553C9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2ABAAA7B" w14:textId="77777777" w:rsid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562B09EC" w14:textId="77777777" w:rsid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4A2B6EF6" w14:textId="77777777" w:rsidR="000A64AA" w:rsidRP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386063E4" w14:textId="77777777" w:rsidR="00E70E54" w:rsidRPr="00E70E54" w:rsidRDefault="00E70E54" w:rsidP="00E70E54">
      <w:pPr>
        <w:rPr>
          <w:lang w:val="en-US"/>
        </w:rPr>
      </w:pPr>
    </w:p>
    <w:sectPr w:rsidR="00E70E54" w:rsidRPr="00E70E54" w:rsidSect="002D7257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6B52" w14:textId="77777777" w:rsidR="00E127EB" w:rsidRDefault="00E127E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5C33706" w14:textId="77777777" w:rsidR="00E127EB" w:rsidRDefault="00E127E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6B726D92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6F4B" w14:textId="77777777" w:rsidR="00E127EB" w:rsidRDefault="00E127EB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3932EA37" w14:textId="77777777" w:rsidR="00E127EB" w:rsidRDefault="00E127EB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3A4936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51658240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3A4936" w:rsidP="00816A23">
                <w: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alt="Logo Richard Brink GmbH und Co" style="width:105.75pt;height:56.2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3A4936">
    <w:pPr>
      <w:pStyle w:val="Kopfzeile"/>
      <w:rPr>
        <w:color w:val="808080"/>
        <w:sz w:val="52"/>
      </w:rPr>
    </w:pPr>
    <w:r>
      <w:rPr>
        <w:rFonts w:ascii="Frutiger 45 Light" w:hAnsi="Frutiger 45 Light"/>
        <w:sz w:val="20"/>
      </w:rPr>
      <w:pict w14:anchorId="5D11CD18">
        <v:shape id="_x0000_s1025" type="#_x0000_t202" alt="" style="position:absolute;margin-left:0;margin-top:18.45pt;width:225pt;height:36pt;z-index:251657216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780B"/>
    <w:rsid w:val="00080678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347A"/>
    <w:rsid w:val="00155438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2917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A4936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59EA"/>
    <w:rsid w:val="00410163"/>
    <w:rsid w:val="004134A3"/>
    <w:rsid w:val="0042505C"/>
    <w:rsid w:val="004465C9"/>
    <w:rsid w:val="0044778E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851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A1BE8"/>
    <w:rsid w:val="005B5E52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86108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3935"/>
    <w:rsid w:val="00775C3E"/>
    <w:rsid w:val="0079221D"/>
    <w:rsid w:val="007A3BAF"/>
    <w:rsid w:val="007B5A9D"/>
    <w:rsid w:val="007B6D60"/>
    <w:rsid w:val="007C0EE0"/>
    <w:rsid w:val="007C441C"/>
    <w:rsid w:val="007C641E"/>
    <w:rsid w:val="007D0A56"/>
    <w:rsid w:val="007D4014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C77EF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E7452"/>
    <w:rsid w:val="009F34E6"/>
    <w:rsid w:val="009F4738"/>
    <w:rsid w:val="00A049DA"/>
    <w:rsid w:val="00A06130"/>
    <w:rsid w:val="00A06BD5"/>
    <w:rsid w:val="00A2516C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0300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0719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99D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27E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Pr>
      <w:lang w:eastAsia="de-DE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Translator</cp:lastModifiedBy>
  <cp:revision>2</cp:revision>
  <cp:lastPrinted>2019-05-14T11:34:00Z</cp:lastPrinted>
  <dcterms:created xsi:type="dcterms:W3CDTF">2022-09-21T17:02:00Z</dcterms:created>
  <dcterms:modified xsi:type="dcterms:W3CDTF">2022-09-21T17:02:00Z</dcterms:modified>
</cp:coreProperties>
</file>