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E72301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2F31D5" w14:paraId="7975E73D" w14:textId="77777777" w:rsidTr="00E72301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5A190B22" w:rsidR="0071666D" w:rsidRPr="001B7EA4" w:rsidRDefault="0000000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FC81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i1033" type="#_x0000_t75" style="width:126.95pt;height:84.65pt;visibility:visible;mso-wrap-style:square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788D9F81" w:rsidR="00D96EF3" w:rsidRDefault="00AF6B51" w:rsidP="009C0E66">
            <w:pPr>
              <w:rPr>
                <w:rFonts w:cs="Arial"/>
                <w:szCs w:val="22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1.jpg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7B98428B" w:rsidR="00522C70" w:rsidRDefault="00AF6B51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Burg Klopp in Bingen am Rhein gilt als Wahrzeichen der Stadt und </w:t>
            </w:r>
            <w:r w:rsidRPr="00AF6B51">
              <w:rPr>
                <w:rFonts w:cs="Arial"/>
                <w:bCs/>
                <w:color w:val="000000"/>
                <w:szCs w:val="22"/>
              </w:rPr>
              <w:t xml:space="preserve">beherbergt unter anderem das Büro des Bürgermeisters </w:t>
            </w:r>
            <w:r>
              <w:rPr>
                <w:rFonts w:cs="Arial"/>
                <w:bCs/>
                <w:color w:val="000000"/>
                <w:szCs w:val="22"/>
              </w:rPr>
              <w:t>sowie</w:t>
            </w:r>
            <w:r w:rsidRPr="00AF6B51">
              <w:rPr>
                <w:rFonts w:cs="Arial"/>
                <w:bCs/>
                <w:color w:val="000000"/>
                <w:szCs w:val="22"/>
              </w:rPr>
              <w:t xml:space="preserve"> einen Teil der Stadtverwaltung</w:t>
            </w:r>
            <w:r>
              <w:rPr>
                <w:rFonts w:cs="Arial"/>
                <w:bCs/>
                <w:color w:val="000000"/>
                <w:szCs w:val="22"/>
              </w:rPr>
              <w:t>.</w:t>
            </w:r>
          </w:p>
          <w:p w14:paraId="3D2F695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pPr>
              <w:rPr>
                <w:lang w:val="en-US"/>
              </w:rPr>
            </w:pPr>
            <w:r w:rsidRPr="002F31D5">
              <w:t xml:space="preserve">Foto: Richard Brink GmbH &amp; Co. </w:t>
            </w:r>
            <w:r w:rsidRPr="002553C9">
              <w:rPr>
                <w:lang w:val="en-US"/>
              </w:rPr>
              <w:t>KG</w:t>
            </w:r>
            <w:r w:rsidR="00F32525" w:rsidRPr="002553C9">
              <w:rPr>
                <w:lang w:val="en-US"/>
              </w:rPr>
              <w:t xml:space="preserve">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553C9" w14:paraId="652D0D29" w14:textId="77777777" w:rsidTr="00E72301">
        <w:trPr>
          <w:trHeight w:val="2605"/>
        </w:trPr>
        <w:tc>
          <w:tcPr>
            <w:tcW w:w="2686" w:type="dxa"/>
          </w:tcPr>
          <w:p w14:paraId="33F74601" w14:textId="77777777" w:rsidR="002631B2" w:rsidRDefault="00AF6B51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7ADAF44A" w14:textId="426DB961" w:rsidR="00AF6B51" w:rsidRPr="001B7EA4" w:rsidRDefault="00000000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pict w14:anchorId="09DEC665">
                <v:shape id="Grafik 13" o:spid="_x0000_i1032" type="#_x0000_t75" style="width:126.95pt;height:84.65pt;visibility:visible;mso-wrap-style:square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5A1ACA16" w:rsidR="002631B2" w:rsidRPr="001B7EA4" w:rsidRDefault="00AF6B51" w:rsidP="009C0E66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2.</w:t>
            </w:r>
            <w:r>
              <w:rPr>
                <w:rFonts w:cs="Arial"/>
              </w:rPr>
              <w:t>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339FF5DE" w:rsidR="00522C70" w:rsidRDefault="00AF6B51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auf einer Anhöhe gelegene Burganlage erlaubt den Blick über das </w:t>
            </w:r>
            <w:r w:rsidR="00833A6F">
              <w:rPr>
                <w:rFonts w:cs="Arial"/>
                <w:color w:val="000000"/>
                <w:szCs w:val="22"/>
              </w:rPr>
              <w:t>idyllische Panorama in unmittelbarer Nähe zum Rhein.</w:t>
            </w:r>
          </w:p>
          <w:p w14:paraId="18413D91" w14:textId="77777777" w:rsidR="002F31D5" w:rsidRPr="001B7EA4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1F04A3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553C9" w14:paraId="0F47C2ED" w14:textId="77777777" w:rsidTr="00E72301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553AE38D" w:rsidR="002631B2" w:rsidRDefault="0000000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BBDA3A0">
                <v:shape id="Grafik 14" o:spid="_x0000_i1031" type="#_x0000_t75" style="width:126.95pt;height:191.2pt;visibility:visible;mso-wrap-style:square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47768E57" w:rsidR="002631B2" w:rsidRDefault="00AF6B51" w:rsidP="009C0E66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>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6C7FBC09" w:rsidR="000A6114" w:rsidRDefault="00833A6F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Im Südost-Bereich des Gebäudes wurde eine rund 222 Quadratmeter große Dachterrassenfläche umfassend saniert.</w:t>
            </w:r>
          </w:p>
          <w:p w14:paraId="503336E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2F31D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F31D5">
              <w:rPr>
                <w:rFonts w:cs="Arial"/>
                <w:color w:val="000000"/>
                <w:szCs w:val="22"/>
              </w:rPr>
              <w:t>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F7840" w:rsidRPr="002553C9" w14:paraId="1DD540FC" w14:textId="77777777" w:rsidTr="00E72301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03143658" w:rsidR="005F7840" w:rsidRPr="001B7EA4" w:rsidRDefault="00000000" w:rsidP="009C0E66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BA42460">
                <v:shape id="Grafik 15" o:spid="_x0000_i1030" type="#_x0000_t75" style="width:126.95pt;height:191.2pt;visibility:visible;mso-wrap-style:square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277A6040" w14:textId="2A3F71F4" w:rsidR="005F7840" w:rsidRPr="001B7EA4" w:rsidRDefault="00AF6B51" w:rsidP="009C0E66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.jpg</w:t>
            </w: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4189D786" w:rsidR="000A6114" w:rsidRDefault="00833A6F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Großformatige Betonplatten bilden den Abschluss der neu aufgebauten Terrassenfläche. Ein 16 Meter langer </w:t>
            </w:r>
            <w:r w:rsidR="0044257C">
              <w:rPr>
                <w:rFonts w:cs="Arial"/>
                <w:color w:val="000000"/>
                <w:szCs w:val="22"/>
              </w:rPr>
              <w:t>Entwässerungss</w:t>
            </w:r>
            <w:r>
              <w:rPr>
                <w:rFonts w:cs="Arial"/>
                <w:color w:val="000000"/>
                <w:szCs w:val="22"/>
              </w:rPr>
              <w:t>trang</w:t>
            </w:r>
            <w:r w:rsidR="0044257C">
              <w:rPr>
                <w:rFonts w:cs="Arial"/>
                <w:color w:val="000000"/>
                <w:szCs w:val="22"/>
              </w:rPr>
              <w:t>,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00197B">
              <w:rPr>
                <w:rFonts w:cs="Arial"/>
                <w:color w:val="000000"/>
                <w:szCs w:val="22"/>
              </w:rPr>
              <w:t>bestehend aus Dränagerinnen des Typs „Stabile“ der Firma Richard Brink</w:t>
            </w:r>
            <w:r w:rsidR="0044257C">
              <w:rPr>
                <w:rFonts w:cs="Arial"/>
                <w:color w:val="000000"/>
                <w:szCs w:val="22"/>
              </w:rPr>
              <w:t>,</w:t>
            </w:r>
            <w:r w:rsidR="0000197B">
              <w:rPr>
                <w:rFonts w:cs="Arial"/>
                <w:color w:val="000000"/>
                <w:szCs w:val="22"/>
              </w:rPr>
              <w:t xml:space="preserve"> sorgt für die gezielte Aufnahme und Ableitung von Niederschlag.</w:t>
            </w:r>
          </w:p>
          <w:p w14:paraId="1D34B8C9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2F31D5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E060E3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F31D5">
              <w:rPr>
                <w:rFonts w:cs="Arial"/>
                <w:color w:val="000000"/>
                <w:szCs w:val="22"/>
              </w:rPr>
              <w:t>KG</w:t>
            </w:r>
          </w:p>
          <w:p w14:paraId="4D0D3185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8C04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C4912" w:rsidRPr="00530BA6" w14:paraId="335AEBD5" w14:textId="77777777" w:rsidTr="00E72301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5B2C9FCB" w:rsidR="0044778E" w:rsidRPr="0044778E" w:rsidRDefault="00000000" w:rsidP="0044778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14EE824">
                <v:shape id="Grafik 16" o:spid="_x0000_i1029" type="#_x0000_t75" style="width:126.95pt;height:191.2pt;visibility:visible;mso-wrap-style:square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5F036904" w:rsidR="008C4912" w:rsidRPr="001B7EA4" w:rsidRDefault="00AF6B51" w:rsidP="009C0E66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5</w:t>
            </w:r>
            <w:r>
              <w:rPr>
                <w:rFonts w:cs="Arial"/>
              </w:rPr>
              <w:t>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6B7813B2" w:rsidR="000A6114" w:rsidRDefault="0000197B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Dränagerinnen aus feuerverzinktem Stahl folgen oberhalb von Abläufen in gleichbleibendem Abstand der gesamten Balustrade. </w:t>
            </w:r>
          </w:p>
          <w:p w14:paraId="6F4DE6C7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 w:rsidRPr="00B4792E">
              <w:rPr>
                <w:rFonts w:cs="Arial"/>
                <w:color w:val="000000"/>
                <w:szCs w:val="22"/>
                <w:lang w:val="en-US"/>
              </w:rPr>
              <w:t xml:space="preserve">Foto: </w:t>
            </w:r>
            <w:r w:rsidR="00B4792E" w:rsidRPr="001F04A3">
              <w:rPr>
                <w:rFonts w:cs="Arial"/>
                <w:color w:val="000000"/>
                <w:szCs w:val="22"/>
                <w:lang w:val="en-US"/>
              </w:rPr>
              <w:t xml:space="preserve">Richard Brink GmbH &amp; Co. </w:t>
            </w:r>
            <w:r w:rsidR="00B4792E"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2553C9" w:rsidRPr="002553C9" w14:paraId="26F5D659" w14:textId="77777777" w:rsidTr="00E72301">
        <w:trPr>
          <w:trHeight w:val="2605"/>
        </w:trPr>
        <w:tc>
          <w:tcPr>
            <w:tcW w:w="2686" w:type="dxa"/>
          </w:tcPr>
          <w:p w14:paraId="62173C73" w14:textId="7B1F9D20" w:rsidR="002553C9" w:rsidRPr="00530BA6" w:rsidRDefault="00000000" w:rsidP="00DE6F41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373804DF">
                <v:shape id="Grafik 17" o:spid="_x0000_i1028" type="#_x0000_t75" style="width:126.95pt;height:191.2pt;visibility:visible;mso-wrap-style:square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46F24E82" w14:textId="20E0B451" w:rsidR="002553C9" w:rsidRPr="001B7EA4" w:rsidRDefault="00AF6B51" w:rsidP="00DE6F41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6</w:t>
            </w:r>
            <w:r>
              <w:rPr>
                <w:rFonts w:cs="Arial"/>
              </w:rPr>
              <w:t>.jpg</w:t>
            </w: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51B6928" w14:textId="0D655998" w:rsidR="00A314A6" w:rsidRDefault="0000197B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Rinnen und Roste des Metallwarenherstellers fügen sich passgenau in das Erscheinungsbild </w:t>
            </w:r>
            <w:r w:rsidR="0044257C">
              <w:rPr>
                <w:rFonts w:cs="Arial"/>
                <w:color w:val="000000"/>
                <w:szCs w:val="22"/>
              </w:rPr>
              <w:t>des Außenbereichs</w:t>
            </w:r>
            <w:r>
              <w:rPr>
                <w:rFonts w:cs="Arial"/>
                <w:color w:val="000000"/>
                <w:szCs w:val="22"/>
              </w:rPr>
              <w:t xml:space="preserve"> ein.</w:t>
            </w:r>
          </w:p>
          <w:p w14:paraId="6BA5AF70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 w:rsidRPr="00B013CF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  <w:tr w:rsidR="00AF6B51" w:rsidRPr="00E060E3" w14:paraId="79B18BC6" w14:textId="77777777" w:rsidTr="00E72301">
        <w:trPr>
          <w:trHeight w:val="2605"/>
        </w:trPr>
        <w:tc>
          <w:tcPr>
            <w:tcW w:w="2686" w:type="dxa"/>
          </w:tcPr>
          <w:p w14:paraId="27E78E67" w14:textId="77777777" w:rsidR="00AF6B51" w:rsidRPr="002553C9" w:rsidRDefault="00AF6B51" w:rsidP="00BB0533">
            <w:pPr>
              <w:rPr>
                <w:rFonts w:cs="Arial"/>
                <w:lang w:val="en-US"/>
              </w:rPr>
            </w:pPr>
          </w:p>
          <w:p w14:paraId="794ED6A3" w14:textId="78C7AC02" w:rsidR="00AF6B51" w:rsidRPr="0044778E" w:rsidRDefault="00000000" w:rsidP="00BB053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4602DBF">
                <v:shape id="Grafik 18" o:spid="_x0000_i1027" type="#_x0000_t75" style="width:126.95pt;height:191.2pt;visibility:visible;mso-wrap-style:square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608D2785" w14:textId="77777777" w:rsidR="00AF6B51" w:rsidRDefault="00AF6B51" w:rsidP="00BB0533">
            <w:pPr>
              <w:rPr>
                <w:rFonts w:cs="Arial"/>
              </w:rPr>
            </w:pPr>
          </w:p>
          <w:p w14:paraId="73440070" w14:textId="6772568C" w:rsidR="00AF6B51" w:rsidRPr="001B7EA4" w:rsidRDefault="00AF6B51" w:rsidP="00BB0533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7</w:t>
            </w:r>
            <w:r>
              <w:rPr>
                <w:rFonts w:cs="Arial"/>
              </w:rPr>
              <w:t>.jpg</w:t>
            </w:r>
          </w:p>
          <w:p w14:paraId="12D1CC0A" w14:textId="77777777" w:rsidR="00AF6B51" w:rsidRDefault="00AF6B51" w:rsidP="00BB0533">
            <w:pPr>
              <w:rPr>
                <w:rFonts w:cs="Arial"/>
              </w:rPr>
            </w:pPr>
          </w:p>
          <w:p w14:paraId="158D5F25" w14:textId="77777777" w:rsidR="00AF6B51" w:rsidRDefault="00AF6B51" w:rsidP="00BB0533">
            <w:pPr>
              <w:rPr>
                <w:rFonts w:cs="Arial"/>
              </w:rPr>
            </w:pPr>
          </w:p>
          <w:p w14:paraId="6B87DB2A" w14:textId="77777777" w:rsidR="00AF6B51" w:rsidRDefault="00AF6B51" w:rsidP="00BB0533">
            <w:pPr>
              <w:rPr>
                <w:rFonts w:cs="Arial"/>
              </w:rPr>
            </w:pPr>
          </w:p>
          <w:p w14:paraId="55EFDA76" w14:textId="77777777" w:rsidR="00AF6B51" w:rsidRPr="0044778E" w:rsidRDefault="00AF6B51" w:rsidP="00BB0533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D9CB29D" w14:textId="77777777" w:rsidR="00AF6B51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F7D1165" w14:textId="146E97B0" w:rsidR="00AF6B51" w:rsidRDefault="0000197B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Zur Abdeckung der Rinnen-Unterteile kommen 20 x 3 mm Längsstabroste, ebenfalls aus feuerverzinktem Stahl, zum Einsatz.</w:t>
            </w:r>
          </w:p>
          <w:p w14:paraId="6C1119F1" w14:textId="77777777" w:rsidR="00AF6B51" w:rsidRPr="001B7EA4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1D32FA" w14:textId="77777777" w:rsidR="00AF6B51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 w:rsidRPr="00931D6C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639878C" w14:textId="77777777" w:rsidR="00AF6B51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811E0D2" w14:textId="77777777" w:rsidR="00AF6B51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70EAC5C2" w14:textId="77777777" w:rsidR="00AF6B51" w:rsidRPr="000A64AA" w:rsidRDefault="00AF6B51" w:rsidP="00BB053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553C9" w:rsidRPr="00E060E3" w14:paraId="7F4C9E97" w14:textId="77777777" w:rsidTr="00E72301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13AC02D6" w14:textId="3FDB6DAD" w:rsidR="002553C9" w:rsidRPr="0044778E" w:rsidRDefault="00000000" w:rsidP="00DE6F41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CE31CF9">
                <v:shape id="Grafik 19" o:spid="_x0000_i1026" type="#_x0000_t75" style="width:126.95pt;height:84.65pt;visibility:visible;mso-wrap-style:square">
                  <v:imagedata r:id="rId14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971A042" w14:textId="286F31DF" w:rsidR="002553C9" w:rsidRPr="001B7EA4" w:rsidRDefault="00AF6B51" w:rsidP="00DE6F41">
            <w:pPr>
              <w:rPr>
                <w:rFonts w:cs="Arial"/>
              </w:rPr>
            </w:pPr>
            <w:r w:rsidRPr="00AF6B51">
              <w:rPr>
                <w:rFonts w:cs="Arial"/>
              </w:rPr>
              <w:t>RichardBrink_BurgKlopp_0</w:t>
            </w:r>
            <w:r>
              <w:rPr>
                <w:rFonts w:cs="Arial"/>
              </w:rPr>
              <w:t>8</w:t>
            </w:r>
            <w:r>
              <w:rPr>
                <w:rFonts w:cs="Arial"/>
              </w:rPr>
              <w:t>.jpg</w:t>
            </w: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38CE4467" w:rsidR="00A314A6" w:rsidRDefault="0000197B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Zusätzlich </w:t>
            </w:r>
            <w:r w:rsidR="0044257C">
              <w:rPr>
                <w:rFonts w:cs="Arial"/>
                <w:color w:val="000000"/>
                <w:szCs w:val="22"/>
              </w:rPr>
              <w:t>wurden an zwei Stellen des Areals Dränagegullys des Typs „Hydra“ mit Einlaufmaßen von 400 x 400 mm verbaut.</w:t>
            </w:r>
          </w:p>
          <w:p w14:paraId="540901F6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2553C9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 w:rsidRPr="00931D6C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2553C9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ABAAA7B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562B09EC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A2B6EF6" w14:textId="77777777" w:rsidR="000A64AA" w:rsidRP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5621" w14:textId="77777777" w:rsidR="00FC3087" w:rsidRDefault="00FC308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9C44A9D" w14:textId="77777777" w:rsidR="00FC3087" w:rsidRDefault="00FC308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1DB6" w14:textId="77777777" w:rsidR="00FC3087" w:rsidRDefault="00FC308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B91A347" w14:textId="77777777" w:rsidR="00FC3087" w:rsidRDefault="00FC308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FC3087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FC3087" w:rsidP="00816A23">
                <w:r>
                  <w:rPr>
                    <w:noProof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FC3087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14</cp:revision>
  <cp:lastPrinted>2019-05-14T11:34:00Z</cp:lastPrinted>
  <dcterms:created xsi:type="dcterms:W3CDTF">2022-03-01T15:10:00Z</dcterms:created>
  <dcterms:modified xsi:type="dcterms:W3CDTF">2022-09-23T11:07:00Z</dcterms:modified>
</cp:coreProperties>
</file>