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BC0737" w14:textId="4EED7224" w:rsidR="00F54646" w:rsidRDefault="006972A3" w:rsidP="00F54646">
      <w:pPr>
        <w:spacing w:after="120"/>
        <w:rPr>
          <w:rFonts w:ascii="Calibri" w:hAnsi="Calibri"/>
          <w:sz w:val="28"/>
        </w:rPr>
      </w:pPr>
      <w:r>
        <w:rPr>
          <w:rFonts w:ascii="Calibri" w:hAnsi="Calibri"/>
          <w:b/>
          <w:i/>
          <w:color w:val="D20A10"/>
          <w:sz w:val="36"/>
        </w:rPr>
        <w:t xml:space="preserve"> </w:t>
      </w:r>
      <w:r w:rsidR="00F54646">
        <w:rPr>
          <w:rFonts w:ascii="Calibri" w:hAnsi="Calibri"/>
          <w:b/>
          <w:i/>
          <w:color w:val="D20A10"/>
          <w:sz w:val="36"/>
        </w:rPr>
        <w:t>When design makes way for structure and serenity</w:t>
      </w:r>
      <w:r w:rsidR="00F54646">
        <w:rPr>
          <w:rFonts w:ascii="Calibri" w:hAnsi="Calibri"/>
          <w:b/>
          <w:i/>
          <w:color w:val="D20A10"/>
          <w:sz w:val="36"/>
        </w:rPr>
        <w:br/>
      </w:r>
      <w:r w:rsidR="0059668F">
        <w:rPr>
          <w:rFonts w:ascii="Calibri" w:hAnsi="Calibri"/>
          <w:sz w:val="28"/>
        </w:rPr>
        <w:t xml:space="preserve">The </w:t>
      </w:r>
      <w:r w:rsidR="00F54646">
        <w:rPr>
          <w:rFonts w:ascii="Calibri" w:hAnsi="Calibri"/>
          <w:sz w:val="28"/>
        </w:rPr>
        <w:t>Modular Ventus plant box from the company Richard Brink – not just for outdoor dining areas</w:t>
      </w:r>
    </w:p>
    <w:p w14:paraId="1440F4C4" w14:textId="139CBE3B" w:rsidR="00F54646" w:rsidRPr="00B25A25" w:rsidRDefault="00C55CBC" w:rsidP="00F54646">
      <w:pPr>
        <w:spacing w:after="240" w:line="360" w:lineRule="auto"/>
      </w:pPr>
      <w:r>
        <w:rPr>
          <w:rFonts w:asciiTheme="minorHAnsi" w:hAnsiTheme="minorHAnsi"/>
          <w:sz w:val="24"/>
        </w:rPr>
        <w:br/>
        <w:t>Schloss Holte-</w:t>
      </w:r>
      <w:proofErr w:type="spellStart"/>
      <w:r>
        <w:rPr>
          <w:rFonts w:asciiTheme="minorHAnsi" w:hAnsiTheme="minorHAnsi"/>
          <w:sz w:val="24"/>
        </w:rPr>
        <w:t>Stukenbrock</w:t>
      </w:r>
      <w:proofErr w:type="spellEnd"/>
      <w:r>
        <w:rPr>
          <w:rFonts w:asciiTheme="minorHAnsi" w:hAnsiTheme="minorHAnsi"/>
          <w:sz w:val="24"/>
        </w:rPr>
        <w:t>,</w:t>
      </w:r>
      <w:r w:rsidR="00F51654">
        <w:rPr>
          <w:rFonts w:asciiTheme="minorHAnsi" w:hAnsiTheme="minorHAnsi"/>
          <w:sz w:val="24"/>
        </w:rPr>
        <w:t xml:space="preserve"> 07.07.2026</w:t>
      </w:r>
      <w:r>
        <w:rPr>
          <w:rFonts w:asciiTheme="minorHAnsi" w:hAnsiTheme="minorHAnsi"/>
          <w:b/>
          <w:sz w:val="24"/>
        </w:rPr>
        <w:br/>
      </w:r>
      <w:r>
        <w:rPr>
          <w:rFonts w:ascii="Calibri" w:hAnsi="Calibri"/>
          <w:b/>
          <w:sz w:val="24"/>
        </w:rPr>
        <w:t xml:space="preserve">For gastronomy businesses in particular, outdoor spaces have long been perceived as an essential, extended dining area. Terraces and open areas have to be clearly structured, screen guests from the wind and people looking in and, at the same time, create an elevated atmosphere. </w:t>
      </w:r>
      <w:r w:rsidR="008C0368">
        <w:rPr>
          <w:rFonts w:ascii="Calibri" w:hAnsi="Calibri"/>
          <w:b/>
          <w:sz w:val="24"/>
        </w:rPr>
        <w:t>Alongside this</w:t>
      </w:r>
      <w:r>
        <w:rPr>
          <w:rFonts w:ascii="Calibri" w:hAnsi="Calibri"/>
          <w:b/>
          <w:sz w:val="24"/>
        </w:rPr>
        <w:t xml:space="preserve">, there is a need for flexible concepts that can be adapted </w:t>
      </w:r>
      <w:r w:rsidR="00844F3B">
        <w:rPr>
          <w:rFonts w:ascii="Calibri" w:hAnsi="Calibri"/>
          <w:b/>
          <w:sz w:val="24"/>
        </w:rPr>
        <w:t>to</w:t>
      </w:r>
      <w:r>
        <w:rPr>
          <w:rFonts w:ascii="Calibri" w:hAnsi="Calibri"/>
          <w:b/>
          <w:sz w:val="24"/>
        </w:rPr>
        <w:t xml:space="preserve"> the season and support a range of seating and usage scenarios. What works for the food-service industry on a larger scale can often also be replicated on a smaller scale to create a hidden haven on a home terrace.</w:t>
      </w:r>
    </w:p>
    <w:p w14:paraId="4B883AF1" w14:textId="39F95B2A" w:rsidR="00F54646" w:rsidRPr="00B25A25" w:rsidRDefault="00F54646" w:rsidP="00F54646">
      <w:pPr>
        <w:spacing w:after="240" w:line="360" w:lineRule="auto"/>
      </w:pPr>
      <w:r>
        <w:rPr>
          <w:rFonts w:ascii="Calibri" w:hAnsi="Calibri"/>
          <w:sz w:val="24"/>
        </w:rPr>
        <w:t>This is why solutions that combine partition elements, planting and comfort in one system come highly recommended – especially if they are quick and easy to set up. With the Modular Ventus plant box, Richard Brink GmbH &amp; Co. KG offers a modular system that has been specifically designed to satisfy these requirements, particularly with an eye to outdoor food-service areas.</w:t>
      </w:r>
    </w:p>
    <w:p w14:paraId="444A15C1" w14:textId="77777777" w:rsidR="00F54646" w:rsidRPr="00B25A25" w:rsidRDefault="00F54646" w:rsidP="00F54646">
      <w:pPr>
        <w:spacing w:after="240" w:line="360" w:lineRule="auto"/>
      </w:pPr>
      <w:r>
        <w:rPr>
          <w:rFonts w:ascii="Calibri" w:hAnsi="Calibri"/>
          <w:b/>
          <w:color w:val="D20A10"/>
          <w:sz w:val="24"/>
        </w:rPr>
        <w:t>Modular system for structured outdoor spaces</w:t>
      </w:r>
    </w:p>
    <w:p w14:paraId="69315DA9" w14:textId="33F18090" w:rsidR="00F54646" w:rsidRPr="00B25A25" w:rsidRDefault="00F54646" w:rsidP="00F54646">
      <w:pPr>
        <w:spacing w:after="240" w:line="360" w:lineRule="auto"/>
      </w:pPr>
      <w:r>
        <w:rPr>
          <w:rFonts w:ascii="Calibri" w:hAnsi="Calibri"/>
          <w:sz w:val="24"/>
        </w:rPr>
        <w:t xml:space="preserve">Through its combination of robust plant box and integrated partition walls, the Modular Ventus establishes clear structures. It is made from 1.5mm-thick aluminium, corten steel or stainless steel and is designed for </w:t>
      </w:r>
      <w:r w:rsidR="00E7494C">
        <w:rPr>
          <w:rFonts w:ascii="Calibri" w:hAnsi="Calibri"/>
          <w:sz w:val="24"/>
        </w:rPr>
        <w:t>continuous</w:t>
      </w:r>
      <w:r>
        <w:rPr>
          <w:rFonts w:ascii="Calibri" w:hAnsi="Calibri"/>
          <w:sz w:val="24"/>
        </w:rPr>
        <w:t xml:space="preserve"> use in highly frequented areas. The partition walls can be fitted with either clear or satin glass panels, positioned above the plant box, either </w:t>
      </w:r>
      <w:r w:rsidR="00675523">
        <w:rPr>
          <w:rFonts w:ascii="Calibri" w:hAnsi="Calibri"/>
          <w:sz w:val="24"/>
        </w:rPr>
        <w:t>to</w:t>
      </w:r>
      <w:r>
        <w:rPr>
          <w:rFonts w:ascii="Calibri" w:hAnsi="Calibri"/>
          <w:sz w:val="24"/>
        </w:rPr>
        <w:t xml:space="preserve"> one side or across the middle. This protects guests effectively against prying eyes and blustery days, while delineating open-air dining areas such as beer gardens and terraces from their wider surroundings without losing the open feel of the </w:t>
      </w:r>
      <w:r>
        <w:rPr>
          <w:rFonts w:ascii="Calibri" w:hAnsi="Calibri"/>
          <w:sz w:val="24"/>
        </w:rPr>
        <w:lastRenderedPageBreak/>
        <w:t>outdoor space. The box can hold plants on one or both sides depending on where the partition wall is positioned.</w:t>
      </w:r>
    </w:p>
    <w:p w14:paraId="25E3005A" w14:textId="77777777" w:rsidR="00F54646" w:rsidRPr="00B25A25" w:rsidRDefault="00F54646" w:rsidP="00F54646">
      <w:pPr>
        <w:spacing w:after="240" w:line="360" w:lineRule="auto"/>
      </w:pPr>
      <w:r>
        <w:rPr>
          <w:rFonts w:ascii="Calibri" w:hAnsi="Calibri"/>
          <w:b/>
          <w:color w:val="D20A10"/>
          <w:sz w:val="24"/>
        </w:rPr>
        <w:t>More seating, more comfort, more privacy</w:t>
      </w:r>
    </w:p>
    <w:p w14:paraId="10913C03" w14:textId="1AC1B0C9" w:rsidR="00F54646" w:rsidRPr="00B25A25" w:rsidRDefault="00F54646" w:rsidP="00F54646">
      <w:pPr>
        <w:spacing w:after="240" w:line="360" w:lineRule="auto"/>
      </w:pPr>
      <w:r>
        <w:rPr>
          <w:rFonts w:ascii="Calibri" w:hAnsi="Calibri"/>
          <w:sz w:val="24"/>
        </w:rPr>
        <w:t xml:space="preserve">For outdoor gastronomy areas in particular, the Modular Ventus </w:t>
      </w:r>
      <w:r w:rsidR="00EA6D6D">
        <w:rPr>
          <w:rFonts w:ascii="Calibri" w:hAnsi="Calibri"/>
          <w:sz w:val="24"/>
        </w:rPr>
        <w:t>supports</w:t>
      </w:r>
      <w:r>
        <w:rPr>
          <w:rFonts w:ascii="Calibri" w:hAnsi="Calibri"/>
          <w:sz w:val="24"/>
        </w:rPr>
        <w:t xml:space="preserve"> the efficient use of space while also making for a more pleasant dining experience for guests. The modules can be connected to form a row or a corner, thus </w:t>
      </w:r>
      <w:r w:rsidR="0045320A">
        <w:rPr>
          <w:rFonts w:ascii="Calibri" w:hAnsi="Calibri"/>
          <w:sz w:val="24"/>
        </w:rPr>
        <w:t>building</w:t>
      </w:r>
      <w:r>
        <w:rPr>
          <w:rFonts w:ascii="Calibri" w:hAnsi="Calibri"/>
          <w:sz w:val="24"/>
        </w:rPr>
        <w:t xml:space="preserve"> clearly defined seating areas. A special </w:t>
      </w:r>
      <w:r w:rsidR="00DC051A">
        <w:rPr>
          <w:rFonts w:ascii="Calibri" w:hAnsi="Calibri"/>
          <w:sz w:val="24"/>
        </w:rPr>
        <w:t>version</w:t>
      </w:r>
      <w:r>
        <w:rPr>
          <w:rFonts w:ascii="Calibri" w:hAnsi="Calibri"/>
          <w:sz w:val="24"/>
        </w:rPr>
        <w:t xml:space="preserve"> is also available that features a high-quality seat made from steamed and oiled acacia wood which fully covers the plant box, creating seating and quiet </w:t>
      </w:r>
      <w:r w:rsidR="00A10BBC">
        <w:rPr>
          <w:rFonts w:ascii="Calibri" w:hAnsi="Calibri"/>
          <w:sz w:val="24"/>
        </w:rPr>
        <w:t>areas</w:t>
      </w:r>
      <w:r>
        <w:rPr>
          <w:rFonts w:ascii="Calibri" w:hAnsi="Calibri"/>
          <w:sz w:val="24"/>
        </w:rPr>
        <w:t>. This combination of partition element and greenery or seating function boosts privacy, reduces disturbances and increases guests’ dwell time. The flexible construction enables seating arrangements and spatial concepts to be adapted or expanded as and when required.</w:t>
      </w:r>
    </w:p>
    <w:p w14:paraId="2EB80539" w14:textId="77777777" w:rsidR="00F54646" w:rsidRPr="00B25A25" w:rsidRDefault="00F54646" w:rsidP="00F54646">
      <w:pPr>
        <w:spacing w:after="240" w:line="360" w:lineRule="auto"/>
      </w:pPr>
      <w:r>
        <w:rPr>
          <w:rFonts w:ascii="Calibri" w:hAnsi="Calibri"/>
          <w:b/>
          <w:color w:val="D20A10"/>
          <w:sz w:val="24"/>
        </w:rPr>
        <w:t>Plenty of design freedom for maximum individuality</w:t>
      </w:r>
    </w:p>
    <w:p w14:paraId="64AD3625" w14:textId="49021C29" w:rsidR="00F54646" w:rsidRPr="00B25A25" w:rsidRDefault="00D6308E" w:rsidP="00F54646">
      <w:pPr>
        <w:spacing w:after="240" w:line="360" w:lineRule="auto"/>
      </w:pPr>
      <w:r>
        <w:rPr>
          <w:rFonts w:ascii="Calibri" w:hAnsi="Calibri"/>
          <w:sz w:val="24"/>
        </w:rPr>
        <w:t xml:space="preserve">The Modular Ventus is available in a width of 440mm and predefined lengths of between 630mm and 2,000mm. The plant box comes in a height of 400mm or 650mm, while the total height measures 1,650mm as standard or, alternatively, can be produced to stand 1,450mm or 1,850mm tall. Aluminium versions </w:t>
      </w:r>
      <w:r w:rsidR="002E5944">
        <w:rPr>
          <w:rFonts w:ascii="Calibri" w:hAnsi="Calibri"/>
          <w:sz w:val="24"/>
        </w:rPr>
        <w:t>come</w:t>
      </w:r>
      <w:r>
        <w:rPr>
          <w:rFonts w:ascii="Calibri" w:hAnsi="Calibri"/>
          <w:sz w:val="24"/>
        </w:rPr>
        <w:t xml:space="preserve"> powder-coated in traffic white (RAL 9016) or iron mica (DB 703), with additional RAL, DB and NCS colours possible in line with project specifications. As an optional extra, the plant boxes manufactured by Richard Brink can also be insulated using </w:t>
      </w:r>
      <w:proofErr w:type="spellStart"/>
      <w:r>
        <w:rPr>
          <w:rFonts w:ascii="Calibri" w:hAnsi="Calibri"/>
          <w:sz w:val="24"/>
        </w:rPr>
        <w:t>Styrodur</w:t>
      </w:r>
      <w:proofErr w:type="spellEnd"/>
      <w:r>
        <w:rPr>
          <w:rFonts w:ascii="Calibri" w:hAnsi="Calibri"/>
          <w:sz w:val="24"/>
        </w:rPr>
        <w:t xml:space="preserve"> to protect their contents against heat and frost. All variants can be individually designed and ordered </w:t>
      </w:r>
      <w:r w:rsidR="0008226B">
        <w:rPr>
          <w:rFonts w:ascii="Calibri" w:hAnsi="Calibri"/>
          <w:sz w:val="24"/>
        </w:rPr>
        <w:t xml:space="preserve">to </w:t>
      </w:r>
      <w:r w:rsidR="005B0DB4">
        <w:rPr>
          <w:rFonts w:ascii="Calibri" w:hAnsi="Calibri"/>
          <w:sz w:val="24"/>
        </w:rPr>
        <w:t>specific</w:t>
      </w:r>
      <w:r>
        <w:rPr>
          <w:rFonts w:ascii="Calibri" w:hAnsi="Calibri"/>
          <w:sz w:val="24"/>
        </w:rPr>
        <w:t xml:space="preserve"> dimensions using an online configurator on the manufacturer’s website.</w:t>
      </w:r>
    </w:p>
    <w:p w14:paraId="0D01370B" w14:textId="77777777" w:rsidR="006972A3" w:rsidRDefault="006972A3">
      <w:pPr>
        <w:spacing w:after="0" w:line="240" w:lineRule="auto"/>
        <w:rPr>
          <w:rFonts w:ascii="Calibri" w:hAnsi="Calibri"/>
          <w:sz w:val="24"/>
        </w:rPr>
      </w:pPr>
      <w:r>
        <w:rPr>
          <w:rFonts w:ascii="Calibri" w:hAnsi="Calibri"/>
          <w:sz w:val="24"/>
        </w:rPr>
        <w:br w:type="page"/>
      </w:r>
    </w:p>
    <w:p w14:paraId="64030C7F" w14:textId="029E4672" w:rsidR="00F54646" w:rsidRPr="00B25A25" w:rsidRDefault="00F54646" w:rsidP="00F54646">
      <w:pPr>
        <w:spacing w:after="240" w:line="360" w:lineRule="auto"/>
      </w:pPr>
      <w:r>
        <w:rPr>
          <w:rFonts w:ascii="Calibri" w:hAnsi="Calibri"/>
          <w:sz w:val="24"/>
        </w:rPr>
        <w:lastRenderedPageBreak/>
        <w:t>The Modular Ventus was developed as a versatile system that allows not only gastronomy businesses to clearly structure their outdoor spaces;</w:t>
      </w:r>
      <w:r>
        <w:rPr>
          <w:rFonts w:ascii="Calibri" w:hAnsi="Calibri"/>
          <w:color w:val="000000" w:themeColor="text1"/>
          <w:sz w:val="24"/>
        </w:rPr>
        <w:t xml:space="preserve"> it also helps shape open-air spaces on private terraces. </w:t>
      </w:r>
      <w:r>
        <w:rPr>
          <w:rFonts w:ascii="Calibri" w:hAnsi="Calibri"/>
          <w:sz w:val="24"/>
        </w:rPr>
        <w:t xml:space="preserve">The product’s modular compatibility, the mix of privacy screen, greenery and seating function, and the option to have it individually made to measure all facilitate a </w:t>
      </w:r>
      <w:r w:rsidR="00555BD0">
        <w:rPr>
          <w:rFonts w:ascii="Calibri" w:hAnsi="Calibri"/>
          <w:sz w:val="24"/>
        </w:rPr>
        <w:t>beautifully designed</w:t>
      </w:r>
      <w:r>
        <w:rPr>
          <w:rFonts w:ascii="Calibri" w:hAnsi="Calibri"/>
          <w:sz w:val="24"/>
        </w:rPr>
        <w:t xml:space="preserve"> terrace </w:t>
      </w:r>
      <w:r w:rsidR="00A551F9">
        <w:rPr>
          <w:rFonts w:ascii="Calibri" w:hAnsi="Calibri"/>
          <w:sz w:val="24"/>
        </w:rPr>
        <w:t>or</w:t>
      </w:r>
      <w:r>
        <w:rPr>
          <w:rFonts w:ascii="Calibri" w:hAnsi="Calibri"/>
          <w:sz w:val="24"/>
        </w:rPr>
        <w:t xml:space="preserve"> </w:t>
      </w:r>
      <w:r w:rsidR="00555BD0">
        <w:rPr>
          <w:rFonts w:ascii="Calibri" w:hAnsi="Calibri"/>
          <w:sz w:val="24"/>
        </w:rPr>
        <w:t>out</w:t>
      </w:r>
      <w:r w:rsidR="00A551F9">
        <w:rPr>
          <w:rFonts w:ascii="Calibri" w:hAnsi="Calibri"/>
          <w:sz w:val="24"/>
        </w:rPr>
        <w:t>door space</w:t>
      </w:r>
      <w:r>
        <w:rPr>
          <w:rFonts w:ascii="Calibri" w:hAnsi="Calibri"/>
          <w:sz w:val="24"/>
        </w:rPr>
        <w:t xml:space="preserve"> that is functional, flexible and mindful of the </w:t>
      </w:r>
      <w:r w:rsidR="00766BCB">
        <w:rPr>
          <w:rFonts w:ascii="Calibri" w:hAnsi="Calibri"/>
          <w:sz w:val="24"/>
        </w:rPr>
        <w:t>day-to-day</w:t>
      </w:r>
      <w:r>
        <w:rPr>
          <w:rFonts w:ascii="Calibri" w:hAnsi="Calibri"/>
          <w:sz w:val="24"/>
        </w:rPr>
        <w:t xml:space="preserve"> operations of a gastronomy business.</w:t>
      </w:r>
    </w:p>
    <w:p w14:paraId="1A6068E3" w14:textId="2C6572E7" w:rsidR="001A053B" w:rsidRPr="00A90857"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(approx. 4,000 characters)</w:t>
      </w:r>
    </w:p>
    <w:p w14:paraId="7FA494EB" w14:textId="77777777" w:rsidR="0078299E" w:rsidRPr="00FD2C26" w:rsidRDefault="0078299E" w:rsidP="004B5AD1">
      <w:pPr>
        <w:spacing w:after="0" w:line="240" w:lineRule="auto"/>
        <w:rPr>
          <w:rFonts w:asciiTheme="minorHAnsi" w:hAnsiTheme="minorHAnsi" w:cstheme="minorHAnsi"/>
          <w:sz w:val="18"/>
        </w:rPr>
      </w:pPr>
    </w:p>
    <w:p w14:paraId="67F1EE02" w14:textId="77777777" w:rsidR="002B476C" w:rsidRPr="00FD2C26" w:rsidRDefault="002B476C" w:rsidP="007651F2">
      <w:pPr>
        <w:spacing w:after="0" w:line="240" w:lineRule="auto"/>
        <w:rPr>
          <w:rFonts w:asciiTheme="minorHAnsi" w:hAnsiTheme="minorHAnsi" w:cstheme="minorHAnsi"/>
          <w:sz w:val="18"/>
        </w:rPr>
      </w:pPr>
    </w:p>
    <w:p w14:paraId="53A648C5" w14:textId="3E783043"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Richard Brink is a medium-sized family-run company from Eastern Westphalia, now managed by the second generation. In its 50-year history, the company has established itself on the market as an expert in metalware production. From product development and construction through manufacturing right up to advice and sales, the company manages and takes ownership of all processes in-house. </w:t>
      </w:r>
    </w:p>
    <w:p w14:paraId="2D4290EC" w14:textId="77777777" w:rsidR="007651F2" w:rsidRPr="00FD2C26" w:rsidRDefault="007651F2" w:rsidP="007651F2">
      <w:pPr>
        <w:spacing w:after="0" w:line="240" w:lineRule="auto"/>
        <w:rPr>
          <w:rFonts w:asciiTheme="minorHAnsi" w:hAnsiTheme="minorHAnsi" w:cstheme="minorHAnsi"/>
          <w:sz w:val="18"/>
        </w:rPr>
      </w:pPr>
    </w:p>
    <w:p w14:paraId="3751D216" w14:textId="2D9E9EF3" w:rsidR="00F41AA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The product range comprises drainage and dewatering solutions, planting systems along with solutions for roof and wall areas, industrial applications, bathrooms and kitchens. Made-to-measure and custom-made products round off the comprehensive standard product range offered by the metal products manufacturer. Find out more at </w:t>
      </w:r>
      <w:hyperlink r:id="rId7" w:history="1">
        <w:r>
          <w:rPr>
            <w:rStyle w:val="Hyperlink"/>
            <w:rFonts w:asciiTheme="minorHAnsi" w:hAnsiTheme="minorHAnsi"/>
            <w:b/>
            <w:color w:val="D22624"/>
            <w:sz w:val="18"/>
          </w:rPr>
          <w:t>www.richard-brink.de</w:t>
        </w:r>
      </w:hyperlink>
      <w:r>
        <w:rPr>
          <w:rFonts w:asciiTheme="minorHAnsi" w:hAnsiTheme="minorHAnsi"/>
          <w:sz w:val="18"/>
        </w:rPr>
        <w:t>.</w:t>
      </w: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338664" w14:textId="77777777" w:rsidR="008C2B9E" w:rsidRDefault="008C2B9E" w:rsidP="002D5283">
      <w:pPr>
        <w:spacing w:after="0" w:line="240" w:lineRule="auto"/>
      </w:pPr>
      <w:r>
        <w:separator/>
      </w:r>
    </w:p>
  </w:endnote>
  <w:endnote w:type="continuationSeparator" w:id="0">
    <w:p w14:paraId="273F63D7" w14:textId="77777777" w:rsidR="008C2B9E" w:rsidRDefault="008C2B9E"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08B9F369" w14:textId="77777777" w:rsidR="007651F2" w:rsidRPr="006972A3"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6972A3">
                            <w:rPr>
                              <w:rFonts w:asciiTheme="minorHAnsi" w:hAnsiTheme="minorHAnsi"/>
                              <w:color w:val="D20A10"/>
                              <w:sz w:val="14"/>
                              <w:lang w:val="de-DE"/>
                            </w:rPr>
                            <w:t>KG</w:t>
                          </w:r>
                        </w:p>
                        <w:p w14:paraId="60BBC0F5" w14:textId="77777777" w:rsidR="007651F2" w:rsidRPr="006972A3" w:rsidRDefault="007651F2" w:rsidP="007651F2">
                          <w:pPr>
                            <w:spacing w:after="0" w:line="240" w:lineRule="auto"/>
                            <w:rPr>
                              <w:rFonts w:asciiTheme="minorHAnsi" w:hAnsiTheme="minorHAnsi" w:cstheme="minorHAnsi"/>
                              <w:color w:val="808080"/>
                              <w:sz w:val="14"/>
                              <w:lang w:val="de-DE"/>
                            </w:rPr>
                          </w:pPr>
                          <w:r w:rsidRPr="006972A3">
                            <w:rPr>
                              <w:rFonts w:asciiTheme="minorHAnsi" w:hAnsiTheme="minorHAnsi"/>
                              <w:color w:val="808080"/>
                              <w:sz w:val="14"/>
                              <w:lang w:val="de-DE"/>
                            </w:rPr>
                            <w:t>Görlitzer Strasse 1</w:t>
                          </w:r>
                        </w:p>
                        <w:p w14:paraId="1DE67197" w14:textId="77777777" w:rsidR="007651F2" w:rsidRPr="006972A3" w:rsidRDefault="007651F2" w:rsidP="007651F2">
                          <w:pPr>
                            <w:spacing w:after="0" w:line="240" w:lineRule="auto"/>
                            <w:rPr>
                              <w:rFonts w:asciiTheme="minorHAnsi" w:hAnsiTheme="minorHAnsi" w:cstheme="minorHAnsi"/>
                              <w:color w:val="808080"/>
                              <w:sz w:val="14"/>
                              <w:lang w:val="de-DE"/>
                            </w:rPr>
                          </w:pPr>
                          <w:r w:rsidRPr="006972A3">
                            <w:rPr>
                              <w:rFonts w:asciiTheme="minorHAnsi" w:hAnsiTheme="minorHAnsi"/>
                              <w:color w:val="808080"/>
                              <w:sz w:val="14"/>
                              <w:lang w:val="de-DE"/>
                            </w:rPr>
                            <w:t>33758 Schloss Holte-Stukenbrock</w:t>
                          </w:r>
                          <w:r w:rsidRPr="006972A3">
                            <w:rPr>
                              <w:rFonts w:asciiTheme="minorHAnsi" w:hAnsiTheme="minorHAnsi"/>
                              <w:color w:val="808080"/>
                              <w:sz w:val="14"/>
                              <w:lang w:val="de-DE"/>
                            </w:rPr>
                            <w:br/>
                            <w:t>Germany</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Editorial contact:</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7112F9C4"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" filled="f" stroked="f">
              <v:path arrowok="t"/>
              <v:textbo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08B9F369" w14:textId="77777777" w:rsidR="007651F2" w:rsidRPr="006972A3"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6972A3">
                      <w:rPr>
                        <w:rFonts w:asciiTheme="minorHAnsi" w:hAnsiTheme="minorHAnsi"/>
                        <w:color w:val="D20A10"/>
                        <w:sz w:val="14"/>
                        <w:lang w:val="de-DE"/>
                      </w:rPr>
                      <w:t>KG</w:t>
                    </w:r>
                  </w:p>
                  <w:p w14:paraId="60BBC0F5" w14:textId="77777777" w:rsidR="007651F2" w:rsidRPr="006972A3" w:rsidRDefault="007651F2" w:rsidP="007651F2">
                    <w:pPr>
                      <w:spacing w:after="0" w:line="240" w:lineRule="auto"/>
                      <w:rPr>
                        <w:rFonts w:asciiTheme="minorHAnsi" w:hAnsiTheme="minorHAnsi" w:cstheme="minorHAnsi"/>
                        <w:color w:val="808080"/>
                        <w:sz w:val="14"/>
                        <w:lang w:val="de-DE"/>
                      </w:rPr>
                    </w:pPr>
                    <w:r w:rsidRPr="006972A3">
                      <w:rPr>
                        <w:rFonts w:asciiTheme="minorHAnsi" w:hAnsiTheme="minorHAnsi"/>
                        <w:color w:val="808080"/>
                        <w:sz w:val="14"/>
                        <w:lang w:val="de-DE"/>
                      </w:rPr>
                      <w:t>Görlitzer Strasse 1</w:t>
                    </w:r>
                  </w:p>
                  <w:p w14:paraId="1DE67197" w14:textId="77777777" w:rsidR="007651F2" w:rsidRPr="006972A3" w:rsidRDefault="007651F2" w:rsidP="007651F2">
                    <w:pPr>
                      <w:spacing w:after="0" w:line="240" w:lineRule="auto"/>
                      <w:rPr>
                        <w:rFonts w:asciiTheme="minorHAnsi" w:hAnsiTheme="minorHAnsi" w:cstheme="minorHAnsi"/>
                        <w:color w:val="808080"/>
                        <w:sz w:val="14"/>
                        <w:lang w:val="de-DE"/>
                      </w:rPr>
                    </w:pPr>
                    <w:r w:rsidRPr="006972A3">
                      <w:rPr>
                        <w:rFonts w:asciiTheme="minorHAnsi" w:hAnsiTheme="minorHAnsi"/>
                        <w:color w:val="808080"/>
                        <w:sz w:val="14"/>
                        <w:lang w:val="de-DE"/>
                      </w:rPr>
                      <w:t>33758 Schloss Holte-Stukenbrock</w:t>
                    </w:r>
                    <w:r w:rsidRPr="006972A3">
                      <w:rPr>
                        <w:rFonts w:asciiTheme="minorHAnsi" w:hAnsiTheme="minorHAnsi"/>
                        <w:color w:val="808080"/>
                        <w:sz w:val="14"/>
                        <w:lang w:val="de-DE"/>
                      </w:rPr>
                      <w:br/>
                      <w:t>Germany</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Editorial contact:</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7112F9C4"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983BD4" w14:textId="77777777" w:rsidR="008C2B9E" w:rsidRDefault="008C2B9E" w:rsidP="002D5283">
      <w:pPr>
        <w:spacing w:after="0" w:line="240" w:lineRule="auto"/>
      </w:pPr>
      <w:r>
        <w:separator/>
      </w:r>
    </w:p>
  </w:footnote>
  <w:footnote w:type="continuationSeparator" w:id="0">
    <w:p w14:paraId="14DFAC2E" w14:textId="77777777" w:rsidR="008C2B9E" w:rsidRDefault="008C2B9E"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" stroked="f">
              <v:path arrowok="t"/>
              <v:textbox style="mso-fit-shape-to-text:t">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 information</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26B"/>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737"/>
    <w:rsid w:val="000E3A2E"/>
    <w:rsid w:val="000E60C2"/>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9C2"/>
    <w:rsid w:val="00261D93"/>
    <w:rsid w:val="0026289C"/>
    <w:rsid w:val="00263DE5"/>
    <w:rsid w:val="0026556F"/>
    <w:rsid w:val="00266692"/>
    <w:rsid w:val="00266C6B"/>
    <w:rsid w:val="00267800"/>
    <w:rsid w:val="00270CF0"/>
    <w:rsid w:val="0027112F"/>
    <w:rsid w:val="002711CF"/>
    <w:rsid w:val="00272486"/>
    <w:rsid w:val="002724F0"/>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5944"/>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4D3D"/>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2A8"/>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1ACC"/>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20A"/>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17F32"/>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BD0"/>
    <w:rsid w:val="00555CDE"/>
    <w:rsid w:val="00557254"/>
    <w:rsid w:val="0056302F"/>
    <w:rsid w:val="00565BDB"/>
    <w:rsid w:val="00565C84"/>
    <w:rsid w:val="0056740E"/>
    <w:rsid w:val="0057053E"/>
    <w:rsid w:val="00571356"/>
    <w:rsid w:val="0057244E"/>
    <w:rsid w:val="00572C30"/>
    <w:rsid w:val="00577404"/>
    <w:rsid w:val="00577837"/>
    <w:rsid w:val="005809F8"/>
    <w:rsid w:val="0058107F"/>
    <w:rsid w:val="00583092"/>
    <w:rsid w:val="0058428D"/>
    <w:rsid w:val="005866BB"/>
    <w:rsid w:val="005876EC"/>
    <w:rsid w:val="00591007"/>
    <w:rsid w:val="005922CE"/>
    <w:rsid w:val="00592E59"/>
    <w:rsid w:val="00593E28"/>
    <w:rsid w:val="0059668F"/>
    <w:rsid w:val="005976D7"/>
    <w:rsid w:val="00597F4C"/>
    <w:rsid w:val="005A1777"/>
    <w:rsid w:val="005A3576"/>
    <w:rsid w:val="005A38B6"/>
    <w:rsid w:val="005A4953"/>
    <w:rsid w:val="005A53B7"/>
    <w:rsid w:val="005B0DB4"/>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523"/>
    <w:rsid w:val="00675BC2"/>
    <w:rsid w:val="00675E75"/>
    <w:rsid w:val="006770E0"/>
    <w:rsid w:val="006854B8"/>
    <w:rsid w:val="00686C54"/>
    <w:rsid w:val="00687067"/>
    <w:rsid w:val="00687934"/>
    <w:rsid w:val="00690590"/>
    <w:rsid w:val="006918CD"/>
    <w:rsid w:val="00692089"/>
    <w:rsid w:val="00694EE9"/>
    <w:rsid w:val="006972A3"/>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1B6F"/>
    <w:rsid w:val="006C254C"/>
    <w:rsid w:val="006C34A4"/>
    <w:rsid w:val="006C62FF"/>
    <w:rsid w:val="006D017A"/>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619"/>
    <w:rsid w:val="00757BA2"/>
    <w:rsid w:val="00760C58"/>
    <w:rsid w:val="007648CC"/>
    <w:rsid w:val="007651F2"/>
    <w:rsid w:val="007653AF"/>
    <w:rsid w:val="00765816"/>
    <w:rsid w:val="00766843"/>
    <w:rsid w:val="00766BCB"/>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4F3B"/>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368"/>
    <w:rsid w:val="008C0EBE"/>
    <w:rsid w:val="008C106D"/>
    <w:rsid w:val="008C16A0"/>
    <w:rsid w:val="008C2B9E"/>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D6904"/>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0BBC"/>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1F9"/>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047"/>
    <w:rsid w:val="00B30570"/>
    <w:rsid w:val="00B30CBB"/>
    <w:rsid w:val="00B30FEB"/>
    <w:rsid w:val="00B31420"/>
    <w:rsid w:val="00B328C8"/>
    <w:rsid w:val="00B3301E"/>
    <w:rsid w:val="00B33353"/>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23"/>
    <w:rsid w:val="00B604FB"/>
    <w:rsid w:val="00B60C93"/>
    <w:rsid w:val="00B60FB5"/>
    <w:rsid w:val="00B611A5"/>
    <w:rsid w:val="00B64CEF"/>
    <w:rsid w:val="00B65193"/>
    <w:rsid w:val="00B66011"/>
    <w:rsid w:val="00B674D8"/>
    <w:rsid w:val="00B677DC"/>
    <w:rsid w:val="00B70996"/>
    <w:rsid w:val="00B73281"/>
    <w:rsid w:val="00B732B3"/>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D98"/>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0BA4"/>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579"/>
    <w:rsid w:val="00D5577C"/>
    <w:rsid w:val="00D55D61"/>
    <w:rsid w:val="00D566C2"/>
    <w:rsid w:val="00D60F3D"/>
    <w:rsid w:val="00D61F05"/>
    <w:rsid w:val="00D6308E"/>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971C1"/>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C051A"/>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1BEC"/>
    <w:rsid w:val="00E6249E"/>
    <w:rsid w:val="00E62B41"/>
    <w:rsid w:val="00E65632"/>
    <w:rsid w:val="00E671B6"/>
    <w:rsid w:val="00E72327"/>
    <w:rsid w:val="00E73BCC"/>
    <w:rsid w:val="00E7494C"/>
    <w:rsid w:val="00E75FBC"/>
    <w:rsid w:val="00E762C0"/>
    <w:rsid w:val="00E80322"/>
    <w:rsid w:val="00E80BE9"/>
    <w:rsid w:val="00E80E66"/>
    <w:rsid w:val="00E8210B"/>
    <w:rsid w:val="00E823D3"/>
    <w:rsid w:val="00E826EB"/>
    <w:rsid w:val="00E83406"/>
    <w:rsid w:val="00E83F52"/>
    <w:rsid w:val="00E8509E"/>
    <w:rsid w:val="00E85237"/>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6D6D"/>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54"/>
    <w:rsid w:val="00F516B3"/>
    <w:rsid w:val="00F53162"/>
    <w:rsid w:val="00F54646"/>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0B3F"/>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4765</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68</cp:revision>
  <cp:lastPrinted>2020-02-05T14:19:00Z</cp:lastPrinted>
  <dcterms:created xsi:type="dcterms:W3CDTF">2025-04-04T09:27:00Z</dcterms:created>
  <dcterms:modified xsi:type="dcterms:W3CDTF">2026-07-06T06:34:00Z</dcterms:modified>
</cp:coreProperties>
</file>