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5780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97530E" w14:paraId="325A56A4" w14:textId="77777777" w:rsidTr="005031AD">
        <w:trPr>
          <w:trHeight w:val="602"/>
        </w:trPr>
        <w:tc>
          <w:tcPr>
            <w:tcW w:w="2835" w:type="dxa"/>
          </w:tcPr>
          <w:p w14:paraId="5341C7AE" w14:textId="77777777" w:rsidR="0097530E" w:rsidRDefault="0097530E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Image</w:t>
            </w:r>
          </w:p>
        </w:tc>
        <w:tc>
          <w:tcPr>
            <w:tcW w:w="2977" w:type="dxa"/>
          </w:tcPr>
          <w:p w14:paraId="1D96338F" w14:textId="77777777" w:rsidR="0097530E" w:rsidRDefault="0097530E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File name</w:t>
            </w:r>
          </w:p>
        </w:tc>
        <w:tc>
          <w:tcPr>
            <w:tcW w:w="3672" w:type="dxa"/>
          </w:tcPr>
          <w:p w14:paraId="2644A428" w14:textId="77777777" w:rsidR="0097530E" w:rsidRDefault="0097530E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Caption</w:t>
            </w:r>
          </w:p>
        </w:tc>
      </w:tr>
      <w:tr w:rsidR="008C4AD3" w:rsidRPr="002A7348" w14:paraId="56F7905E" w14:textId="77777777" w:rsidTr="005031AD">
        <w:trPr>
          <w:trHeight w:val="2821"/>
        </w:trPr>
        <w:tc>
          <w:tcPr>
            <w:tcW w:w="2835" w:type="dxa"/>
          </w:tcPr>
          <w:p w14:paraId="4EBAAFB0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6AF2D22B" w14:textId="77777777" w:rsidR="00C619A0" w:rsidRDefault="000C4B0B" w:rsidP="00B45B0C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C9E19C3" wp14:editId="484F183E">
                  <wp:extent cx="1711325" cy="1141095"/>
                  <wp:effectExtent l="0" t="0" r="3175" b="1905"/>
                  <wp:docPr id="4136786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78693" name="Grafik 41367869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5B6A8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14:paraId="3EED0866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266801D5" w14:textId="77777777" w:rsidR="008C4AD3" w:rsidRPr="008A6296" w:rsidRDefault="00DE5CDE" w:rsidP="00B45B0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</w:rPr>
              <w:t>RichardBrink_FerroMagna_01</w:t>
            </w:r>
          </w:p>
        </w:tc>
        <w:tc>
          <w:tcPr>
            <w:tcW w:w="3672" w:type="dxa"/>
          </w:tcPr>
          <w:p w14:paraId="7F1AFFF9" w14:textId="77777777" w:rsidR="008A6296" w:rsidRDefault="008A6296" w:rsidP="00E55A3A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9DAEB1E" w14:textId="77777777" w:rsidR="009F2E27" w:rsidRPr="001026F4" w:rsidRDefault="00E55A3A" w:rsidP="009F2E2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The Ferro Magna heavy-duty dewatering channel from the company Richard Brink appeals with its low weight while still offering maximum impact resistance and stability – before, during and after installation. </w:t>
            </w:r>
          </w:p>
          <w:p w14:paraId="6E7ABAE2" w14:textId="77777777" w:rsidR="00DE5CDE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56059E6" w14:textId="77777777" w:rsidR="00DE5CDE" w:rsidRPr="00646388" w:rsidRDefault="00DE5CDE" w:rsidP="00DE5CDE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0C65B8AE" w14:textId="77777777" w:rsidR="00921231" w:rsidRPr="00646388" w:rsidRDefault="00921231" w:rsidP="00DE5CDE">
            <w:pPr>
              <w:rPr>
                <w:rFonts w:ascii="Calibri" w:hAnsi="Calibri" w:cs="Calibri"/>
                <w:color w:val="7F7F7F"/>
                <w:sz w:val="20"/>
              </w:rPr>
            </w:pPr>
          </w:p>
          <w:p w14:paraId="356AA2E2" w14:textId="77777777" w:rsidR="00DE5CDE" w:rsidRPr="00646388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E5CDE" w:rsidRPr="008D0874" w14:paraId="2B269758" w14:textId="77777777" w:rsidTr="005031AD">
        <w:trPr>
          <w:trHeight w:val="2821"/>
        </w:trPr>
        <w:tc>
          <w:tcPr>
            <w:tcW w:w="2835" w:type="dxa"/>
          </w:tcPr>
          <w:p w14:paraId="726A3EF0" w14:textId="77777777"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14:paraId="70FD6064" w14:textId="77777777" w:rsidR="00DE5CDE" w:rsidRDefault="000C4B0B" w:rsidP="007E1ADD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D61EA87" wp14:editId="506EF504">
                  <wp:extent cx="1711325" cy="1141095"/>
                  <wp:effectExtent l="0" t="0" r="3175" b="1905"/>
                  <wp:docPr id="171677092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770926" name="Grafik 17167709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367C90D" w14:textId="77777777"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7F98C0C6" w14:textId="77777777" w:rsidR="005031AD" w:rsidRDefault="005031AD" w:rsidP="007E1ADD">
            <w:pPr>
              <w:rPr>
                <w:rFonts w:ascii="Calibri" w:hAnsi="Calibri" w:cs="Calibri"/>
                <w:szCs w:val="22"/>
              </w:rPr>
            </w:pPr>
          </w:p>
          <w:p w14:paraId="22286FF5" w14:textId="77777777" w:rsidR="00DE5CDE" w:rsidRDefault="00DE5CDE" w:rsidP="007E1ADD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RichardBrink_FerroMagna_02a</w:t>
            </w:r>
          </w:p>
        </w:tc>
        <w:tc>
          <w:tcPr>
            <w:tcW w:w="3672" w:type="dxa"/>
          </w:tcPr>
          <w:p w14:paraId="045BBF95" w14:textId="77777777" w:rsidR="008A6296" w:rsidRDefault="008A6296" w:rsidP="008D0874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ED165BC" w14:textId="77777777" w:rsidR="005031AD" w:rsidRDefault="005031AD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5238B663" w14:textId="275EE8E5" w:rsidR="00CD66BE" w:rsidRDefault="00CD66BE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The channel’s design is essentially composed of support profiles and casing troughs made </w:t>
            </w:r>
            <w:r w:rsidR="00F74AE3">
              <w:rPr>
                <w:rFonts w:ascii="Calibri" w:hAnsi="Calibri"/>
                <w:color w:val="000000"/>
              </w:rPr>
              <w:t>entirely of</w:t>
            </w:r>
            <w:r>
              <w:rPr>
                <w:rFonts w:ascii="Calibri" w:hAnsi="Calibri"/>
                <w:color w:val="000000"/>
              </w:rPr>
              <w:t xml:space="preserve"> metal. This </w:t>
            </w:r>
            <w:r w:rsidR="002B0296">
              <w:rPr>
                <w:rFonts w:ascii="Calibri" w:hAnsi="Calibri"/>
                <w:color w:val="000000"/>
              </w:rPr>
              <w:t>results in</w:t>
            </w:r>
            <w:r>
              <w:rPr>
                <w:rFonts w:ascii="Calibri" w:hAnsi="Calibri"/>
                <w:color w:val="000000"/>
              </w:rPr>
              <w:t xml:space="preserve"> a fully recyclable product.</w:t>
            </w:r>
          </w:p>
          <w:p w14:paraId="64B9CCAE" w14:textId="77777777" w:rsidR="00A80612" w:rsidRDefault="00A80612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46EE0B73" w14:textId="77777777" w:rsidR="00DE5CDE" w:rsidRDefault="00DE5CDE" w:rsidP="007E1ADD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353A0542" w14:textId="77777777"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0DE87D96" w14:textId="77777777" w:rsidR="00DE5CDE" w:rsidRPr="00A80612" w:rsidRDefault="00DE5CDE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9E2EA9" w:rsidRPr="00646388" w14:paraId="24D23DAA" w14:textId="77777777" w:rsidTr="005031AD">
        <w:trPr>
          <w:trHeight w:val="2821"/>
        </w:trPr>
        <w:tc>
          <w:tcPr>
            <w:tcW w:w="2835" w:type="dxa"/>
          </w:tcPr>
          <w:p w14:paraId="0288D91F" w14:textId="77777777" w:rsidR="009E2EA9" w:rsidRDefault="009E2EA9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56FE3F0B" w14:textId="77777777" w:rsidR="000C4B0B" w:rsidRDefault="000C4B0B" w:rsidP="00B45B0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BBA683A" wp14:editId="493D67BD">
                  <wp:extent cx="1711325" cy="800735"/>
                  <wp:effectExtent l="0" t="0" r="3175" b="0"/>
                  <wp:docPr id="40435458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54580" name="Grafik 40435458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2C57F75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1DB7A304" w14:textId="77777777" w:rsidR="009E2EA9" w:rsidRPr="00DE5CDE" w:rsidRDefault="008A4F7A" w:rsidP="00B45B0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RichardBrink_FerroMagna_02b</w:t>
            </w:r>
          </w:p>
        </w:tc>
        <w:tc>
          <w:tcPr>
            <w:tcW w:w="3672" w:type="dxa"/>
          </w:tcPr>
          <w:p w14:paraId="28F59F81" w14:textId="77777777" w:rsidR="008A6296" w:rsidRDefault="008A6296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1F4E38A" w14:textId="3D1E5436" w:rsidR="00CD66BE" w:rsidRPr="001026F4" w:rsidRDefault="000C4B0B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The support profiles safely direct excessive forces, </w:t>
            </w:r>
            <w:r w:rsidR="00501489">
              <w:rPr>
                <w:rFonts w:ascii="Calibri" w:hAnsi="Calibri"/>
                <w:color w:val="000000"/>
              </w:rPr>
              <w:t xml:space="preserve">caused </w:t>
            </w:r>
            <w:r>
              <w:rPr>
                <w:rFonts w:ascii="Calibri" w:hAnsi="Calibri"/>
                <w:color w:val="000000"/>
              </w:rPr>
              <w:t xml:space="preserve">for instance by vehicles in courtyards and driveways, into the foundation. </w:t>
            </w:r>
            <w:r w:rsidR="00156043">
              <w:rPr>
                <w:rFonts w:ascii="Calibri" w:hAnsi="Calibri"/>
                <w:color w:val="000000"/>
              </w:rPr>
              <w:t>What’s more</w:t>
            </w:r>
            <w:r>
              <w:rPr>
                <w:rFonts w:ascii="Calibri" w:hAnsi="Calibri"/>
                <w:color w:val="000000"/>
              </w:rPr>
              <w:t xml:space="preserve">, paving stones can be laid right up to the channel edge. Integrated concrete anchors make sure that the Ferro Magna is unable to lift up </w:t>
            </w:r>
            <w:r w:rsidR="005E4173">
              <w:rPr>
                <w:rFonts w:ascii="Calibri" w:hAnsi="Calibri"/>
                <w:color w:val="000000"/>
              </w:rPr>
              <w:t xml:space="preserve">out of place </w:t>
            </w:r>
            <w:r>
              <w:rPr>
                <w:rFonts w:ascii="Calibri" w:hAnsi="Calibri"/>
                <w:color w:val="000000"/>
              </w:rPr>
              <w:t>when the foundation is poured.</w:t>
            </w:r>
          </w:p>
          <w:p w14:paraId="5ACA1081" w14:textId="77777777" w:rsidR="008D6EE4" w:rsidRDefault="008D6EE4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4E809F2" w14:textId="77777777" w:rsidR="00921231" w:rsidRPr="00646388" w:rsidRDefault="00921231" w:rsidP="00C7649F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</w:tc>
      </w:tr>
      <w:tr w:rsidR="00A80612" w:rsidRPr="00646388" w14:paraId="23644C3C" w14:textId="77777777" w:rsidTr="005031AD">
        <w:trPr>
          <w:trHeight w:val="2821"/>
        </w:trPr>
        <w:tc>
          <w:tcPr>
            <w:tcW w:w="2835" w:type="dxa"/>
          </w:tcPr>
          <w:p w14:paraId="309477CD" w14:textId="77777777" w:rsidR="00A80612" w:rsidRPr="00646388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4AC4D388" w14:textId="77777777" w:rsidR="00A80612" w:rsidRDefault="000C4B0B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3C1A25D" wp14:editId="467EA86B">
                  <wp:extent cx="1711325" cy="1141095"/>
                  <wp:effectExtent l="0" t="0" r="3175" b="1905"/>
                  <wp:docPr id="7042184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1843" name="Grafik 7042184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BF3DCFF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5572259C" w14:textId="77777777" w:rsidR="005031AD" w:rsidRDefault="005031AD" w:rsidP="00B160F0">
            <w:pPr>
              <w:rPr>
                <w:rFonts w:ascii="Calibri" w:hAnsi="Calibri" w:cs="Calibri"/>
                <w:szCs w:val="22"/>
              </w:rPr>
            </w:pPr>
          </w:p>
          <w:p w14:paraId="1719BEFF" w14:textId="77777777" w:rsidR="00A80612" w:rsidRPr="00DE5CDE" w:rsidRDefault="00A80612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RichardBrink_FerroMagna_03</w:t>
            </w:r>
          </w:p>
        </w:tc>
        <w:tc>
          <w:tcPr>
            <w:tcW w:w="3672" w:type="dxa"/>
          </w:tcPr>
          <w:p w14:paraId="51C0F0A3" w14:textId="77777777" w:rsidR="008A6296" w:rsidRPr="001A106D" w:rsidRDefault="008A6296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1DC794D" w14:textId="77777777" w:rsidR="005031AD" w:rsidRDefault="005031AD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22661E1" w14:textId="77777777" w:rsidR="00CD66BE" w:rsidRDefault="00A512F2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While frequently used concrete channels are prone to damage during transport, installation and subsequent processing, the Ferro Magna impresses as a resilient alternative for every scenario.</w:t>
            </w:r>
          </w:p>
          <w:p w14:paraId="0585C597" w14:textId="77777777" w:rsidR="00FC31F0" w:rsidRPr="00FC31F0" w:rsidRDefault="00FC31F0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7F9E4F4" w14:textId="77777777" w:rsidR="00A80612" w:rsidRPr="00A80612" w:rsidRDefault="00A80612" w:rsidP="00A80612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48D16032" w14:textId="77777777" w:rsidR="00A80612" w:rsidRPr="008D0874" w:rsidRDefault="00A80612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41883FE1" w14:textId="77777777" w:rsidTr="005031AD">
        <w:trPr>
          <w:trHeight w:val="2821"/>
        </w:trPr>
        <w:tc>
          <w:tcPr>
            <w:tcW w:w="2835" w:type="dxa"/>
          </w:tcPr>
          <w:p w14:paraId="59CD6D1E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38DFF124" w14:textId="77777777" w:rsidR="000C4B0B" w:rsidRPr="008D6EE4" w:rsidRDefault="000C4B0B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0E392BD" wp14:editId="058123EC">
                  <wp:extent cx="1741805" cy="1576168"/>
                  <wp:effectExtent l="0" t="0" r="0" b="0"/>
                  <wp:docPr id="189053917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08944" name="Grafik 349508944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48" r="16200"/>
                          <a:stretch/>
                        </pic:blipFill>
                        <pic:spPr bwMode="auto">
                          <a:xfrm>
                            <a:off x="0" y="0"/>
                            <a:ext cx="1818732" cy="1645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232B25F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6DF19424" w14:textId="77777777" w:rsidR="005031AD" w:rsidRDefault="005031AD" w:rsidP="000117E6">
            <w:pPr>
              <w:rPr>
                <w:rFonts w:ascii="Calibri" w:hAnsi="Calibri" w:cs="Calibri"/>
                <w:szCs w:val="22"/>
              </w:rPr>
            </w:pPr>
          </w:p>
          <w:p w14:paraId="67CD1AAB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RichardBrink_FerroMagna_04</w:t>
            </w:r>
          </w:p>
        </w:tc>
        <w:tc>
          <w:tcPr>
            <w:tcW w:w="3672" w:type="dxa"/>
          </w:tcPr>
          <w:p w14:paraId="42851120" w14:textId="77777777" w:rsidR="000C4B0B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5EECDE6" w14:textId="77777777" w:rsidR="005031AD" w:rsidRDefault="005031AD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355D98CB" w14:textId="70E34F0D" w:rsidR="000C4B0B" w:rsidRPr="005031AD" w:rsidRDefault="004677EE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T</w:t>
            </w:r>
            <w:r w:rsidR="000C4B0B">
              <w:rPr>
                <w:rFonts w:ascii="Calibri" w:hAnsi="Calibri"/>
                <w:color w:val="000000"/>
              </w:rPr>
              <w:t>he metal products manufacturer from Eastern Westphalia provides its heavy-duty channel in a range of dimensions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to suit the installation location and requirements</w:t>
            </w:r>
            <w:r w:rsidR="000C4B0B">
              <w:rPr>
                <w:rFonts w:ascii="Calibri" w:hAnsi="Calibri"/>
                <w:color w:val="000000"/>
              </w:rPr>
              <w:t>. Custom measurements are also possible.</w:t>
            </w:r>
          </w:p>
          <w:p w14:paraId="62BB6BFA" w14:textId="77777777" w:rsidR="000C4B0B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</w:p>
          <w:p w14:paraId="4B2A338E" w14:textId="77777777" w:rsidR="000C4B0B" w:rsidRPr="00A80612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2D08B158" w14:textId="77777777" w:rsidR="000C4B0B" w:rsidRPr="00646388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3F7E7B93" w14:textId="77777777" w:rsidTr="005031AD">
        <w:trPr>
          <w:trHeight w:val="2821"/>
        </w:trPr>
        <w:tc>
          <w:tcPr>
            <w:tcW w:w="2835" w:type="dxa"/>
          </w:tcPr>
          <w:p w14:paraId="23077C72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713DF5DB" w14:textId="77777777" w:rsidR="000C4B0B" w:rsidRPr="008D6EE4" w:rsidRDefault="000C4B0B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D235157" wp14:editId="6EF425F6">
                  <wp:extent cx="1741805" cy="1721852"/>
                  <wp:effectExtent l="0" t="0" r="0" b="5715"/>
                  <wp:docPr id="3728066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8461" name="Grafik 78458461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28" b="12292"/>
                          <a:stretch/>
                        </pic:blipFill>
                        <pic:spPr bwMode="auto">
                          <a:xfrm>
                            <a:off x="0" y="0"/>
                            <a:ext cx="1763702" cy="1743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10DC798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38AF07EF" w14:textId="77777777" w:rsidR="005031AD" w:rsidRDefault="005031AD" w:rsidP="000117E6">
            <w:pPr>
              <w:rPr>
                <w:rFonts w:ascii="Calibri" w:hAnsi="Calibri" w:cs="Calibri"/>
                <w:szCs w:val="22"/>
              </w:rPr>
            </w:pPr>
          </w:p>
          <w:p w14:paraId="2DD01D17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RichardBrink_FerroMagna_05</w:t>
            </w:r>
          </w:p>
        </w:tc>
        <w:tc>
          <w:tcPr>
            <w:tcW w:w="3672" w:type="dxa"/>
          </w:tcPr>
          <w:p w14:paraId="23F8B6DA" w14:textId="77777777" w:rsidR="000C4B0B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78B8537" w14:textId="77777777" w:rsidR="005031AD" w:rsidRDefault="005031AD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5E825569" w14:textId="77777777" w:rsidR="000C4B0B" w:rsidRDefault="005031AD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>Compatible grating covers such as heavy-duty mesh gratings and longitudinal bar gratings also form part of the product line.</w:t>
            </w:r>
          </w:p>
          <w:p w14:paraId="49139375" w14:textId="77777777" w:rsidR="000C4B0B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</w:p>
          <w:p w14:paraId="0F0CC214" w14:textId="77777777" w:rsidR="000C4B0B" w:rsidRPr="00A80612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777E332F" w14:textId="77777777" w:rsidR="000C4B0B" w:rsidRPr="00646388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647F1962" w14:textId="77777777" w:rsidTr="005031AD">
        <w:trPr>
          <w:trHeight w:val="2821"/>
        </w:trPr>
        <w:tc>
          <w:tcPr>
            <w:tcW w:w="2835" w:type="dxa"/>
          </w:tcPr>
          <w:p w14:paraId="725786A6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22D57CC0" w14:textId="77777777" w:rsidR="000C4B0B" w:rsidRPr="008D6EE4" w:rsidRDefault="000C4B0B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5E9C939" wp14:editId="44D943B5">
                  <wp:extent cx="1741805" cy="1478395"/>
                  <wp:effectExtent l="0" t="0" r="0" b="0"/>
                  <wp:docPr id="1268575166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4324" name="Grafik 143234324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8" r="11209"/>
                          <a:stretch/>
                        </pic:blipFill>
                        <pic:spPr bwMode="auto">
                          <a:xfrm>
                            <a:off x="0" y="0"/>
                            <a:ext cx="1767952" cy="150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31FA1B2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1F8B229A" w14:textId="77777777" w:rsidR="005031AD" w:rsidRDefault="005031AD" w:rsidP="000117E6">
            <w:pPr>
              <w:rPr>
                <w:rFonts w:ascii="Calibri" w:hAnsi="Calibri" w:cs="Calibri"/>
                <w:szCs w:val="22"/>
              </w:rPr>
            </w:pPr>
          </w:p>
          <w:p w14:paraId="37BB2804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RichardBrink_FerroMagna_06</w:t>
            </w:r>
          </w:p>
        </w:tc>
        <w:tc>
          <w:tcPr>
            <w:tcW w:w="3672" w:type="dxa"/>
          </w:tcPr>
          <w:p w14:paraId="21FAF287" w14:textId="77777777" w:rsidR="000C4B0B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336ED0D" w14:textId="77777777" w:rsidR="005031AD" w:rsidRDefault="005031AD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5D30D48D" w14:textId="1A072601" w:rsidR="000C4B0B" w:rsidRDefault="005031AD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>The cast gratings offered by Richard Brink give the channels a beautiful finish. Customers can choose from three designs</w:t>
            </w:r>
            <w:r w:rsidR="00576A53">
              <w:rPr>
                <w:rFonts w:ascii="Calibri" w:hAnsi="Calibri"/>
                <w:color w:val="000000"/>
              </w:rPr>
              <w:t xml:space="preserve"> at present</w:t>
            </w:r>
            <w:r>
              <w:rPr>
                <w:rFonts w:ascii="Calibri" w:hAnsi="Calibri"/>
                <w:color w:val="000000"/>
              </w:rPr>
              <w:t xml:space="preserve">. The </w:t>
            </w:r>
            <w:r w:rsidR="00362828">
              <w:rPr>
                <w:rFonts w:ascii="Calibri" w:hAnsi="Calibri"/>
                <w:color w:val="000000"/>
              </w:rPr>
              <w:t>model</w:t>
            </w:r>
            <w:r>
              <w:rPr>
                <w:rFonts w:ascii="Calibri" w:hAnsi="Calibri"/>
                <w:color w:val="000000"/>
              </w:rPr>
              <w:t xml:space="preserve"> shown here is the Prisma, which was honoured with the Red Dot Design Award</w:t>
            </w:r>
            <w:r w:rsidR="00362828">
              <w:rPr>
                <w:rFonts w:ascii="Calibri" w:hAnsi="Calibri"/>
                <w:color w:val="000000"/>
              </w:rPr>
              <w:t>.</w:t>
            </w:r>
          </w:p>
          <w:p w14:paraId="35571458" w14:textId="77777777" w:rsidR="000C4B0B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</w:p>
          <w:p w14:paraId="68B435C1" w14:textId="77777777" w:rsidR="000C4B0B" w:rsidRPr="005031AD" w:rsidRDefault="000C4B0B" w:rsidP="005031AD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</w:tc>
      </w:tr>
      <w:tr w:rsidR="00EC7E2C" w:rsidRPr="00646388" w14:paraId="74EB6032" w14:textId="77777777" w:rsidTr="005031AD">
        <w:trPr>
          <w:trHeight w:val="2821"/>
        </w:trPr>
        <w:tc>
          <w:tcPr>
            <w:tcW w:w="2835" w:type="dxa"/>
          </w:tcPr>
          <w:p w14:paraId="7AFDB07F" w14:textId="77777777" w:rsidR="00EC7E2C" w:rsidRPr="00646388" w:rsidRDefault="00EC7E2C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7168E78D" w14:textId="77777777" w:rsidR="00EC7E2C" w:rsidRPr="008D6EE4" w:rsidRDefault="000C4B0B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40FFA86" wp14:editId="740A9E80">
                  <wp:extent cx="1711325" cy="1856105"/>
                  <wp:effectExtent l="0" t="0" r="3175" b="0"/>
                  <wp:docPr id="66142065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420655" name="Grafik 6614206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85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0881052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14:paraId="5EE6FC9E" w14:textId="77777777" w:rsidR="005031AD" w:rsidRDefault="005031AD" w:rsidP="00B160F0">
            <w:pPr>
              <w:rPr>
                <w:rFonts w:ascii="Calibri" w:hAnsi="Calibri" w:cs="Calibri"/>
                <w:szCs w:val="22"/>
              </w:rPr>
            </w:pPr>
          </w:p>
          <w:p w14:paraId="5E7629A4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RichardBrink_FerroMagna_07</w:t>
            </w:r>
          </w:p>
        </w:tc>
        <w:tc>
          <w:tcPr>
            <w:tcW w:w="3672" w:type="dxa"/>
          </w:tcPr>
          <w:p w14:paraId="76285629" w14:textId="77777777" w:rsidR="00EC7E2C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047E5E15" w14:textId="77777777" w:rsidR="005031AD" w:rsidRDefault="005031AD" w:rsidP="00CD66BE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7EEBF06A" w14:textId="7B940259" w:rsidR="00CD66BE" w:rsidRDefault="005031AD" w:rsidP="00CD66BE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>Corresponding end pieces and flush boxes round off the range of system components</w:t>
            </w:r>
            <w:r w:rsidR="0080436A">
              <w:rPr>
                <w:rFonts w:ascii="Calibri" w:hAnsi="Calibri"/>
                <w:color w:val="000000"/>
              </w:rPr>
              <w:t xml:space="preserve"> available</w:t>
            </w:r>
            <w:r>
              <w:rPr>
                <w:rFonts w:ascii="Calibri" w:hAnsi="Calibri"/>
                <w:color w:val="000000"/>
              </w:rPr>
              <w:t xml:space="preserve"> for the Ferro Magna.</w:t>
            </w:r>
          </w:p>
          <w:p w14:paraId="3C7319D4" w14:textId="77777777" w:rsidR="002E70B0" w:rsidRDefault="002E70B0" w:rsidP="00CD66BE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</w:p>
          <w:p w14:paraId="26B2B5A8" w14:textId="77777777" w:rsidR="00CD66BE" w:rsidRPr="00A80612" w:rsidRDefault="00CD66BE" w:rsidP="00CD66BE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30EFA721" w14:textId="77777777" w:rsidR="00EC7E2C" w:rsidRPr="00646388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14:paraId="04D65BBF" w14:textId="77777777" w:rsidR="0097530E" w:rsidRPr="00646388" w:rsidRDefault="0097530E">
      <w:pPr>
        <w:rPr>
          <w:rFonts w:ascii="Calibri" w:hAnsi="Calibri" w:cs="Calibri"/>
          <w:lang w:val="en-US"/>
        </w:rPr>
      </w:pPr>
    </w:p>
    <w:p w14:paraId="2E8A7259" w14:textId="77777777" w:rsidR="009E2EA9" w:rsidRPr="00646388" w:rsidRDefault="009E2EA9">
      <w:pPr>
        <w:rPr>
          <w:rFonts w:ascii="Calibri" w:hAnsi="Calibri" w:cs="Calibri"/>
          <w:lang w:val="en-US"/>
        </w:rPr>
      </w:pPr>
    </w:p>
    <w:sectPr w:rsidR="009E2EA9" w:rsidRPr="00646388" w:rsidSect="00106541">
      <w:headerReference w:type="default" r:id="rId15"/>
      <w:footerReference w:type="default" r:id="rId16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221B" w14:textId="77777777" w:rsidR="003E1159" w:rsidRDefault="003E1159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5EFCB309" w14:textId="77777777" w:rsidR="003E1159" w:rsidRDefault="003E1159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A8B1" w14:textId="77777777" w:rsidR="001A0265" w:rsidRDefault="001A02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t>2</w:t>
    </w:r>
    <w:r>
      <w:fldChar w:fldCharType="end"/>
    </w:r>
  </w:p>
  <w:p w14:paraId="6E904F43" w14:textId="77777777" w:rsidR="001A0265" w:rsidRDefault="001A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AA9F" w14:textId="77777777" w:rsidR="003E1159" w:rsidRDefault="003E1159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7EBBDD66" w14:textId="77777777" w:rsidR="003E1159" w:rsidRDefault="003E1159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8C57" w14:textId="77777777" w:rsidR="001A0265" w:rsidRDefault="008C4AD3">
    <w:pPr>
      <w:pStyle w:val="Header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85B97" wp14:editId="566F7AB3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48CE" w14:textId="77777777"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8C546" wp14:editId="1113AA25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" stroked="f">
              <v:path arrowok="t"/>
              <v:textbox style="mso-fit-shape-to-text:t">
                <w:txbxContent>
                  <w:p w14:paraId="608048CE" w14:textId="77777777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DB8C546" wp14:editId="1113AA25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47602B2" w14:textId="77777777" w:rsidR="001A0265" w:rsidRDefault="008C4AD3">
    <w:pPr>
      <w:pStyle w:val="Header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E849A" wp14:editId="0DC31BF1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F030A" w14:textId="77777777" w:rsidR="001A0265" w:rsidRDefault="001A0265">
                          <w:pPr>
                            <w:pStyle w:val="Heading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Image captions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" stroked="f">
              <v:path arrowok="t"/>
              <v:textbox inset="0,0,0,0">
                <w:txbxContent>
                  <w:p w14:paraId="17EF030A" w14:textId="77777777" w:rsidR="001A0265" w:rsidRDefault="001A0265">
                    <w:pPr>
                      <w:pStyle w:val="Heading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/>
                      </w:rPr>
                      <w:t>Image captions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7A5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9D"/>
    <w:rsid w:val="00056EB9"/>
    <w:rsid w:val="00061544"/>
    <w:rsid w:val="0006699E"/>
    <w:rsid w:val="00070F69"/>
    <w:rsid w:val="00072AD3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4B0B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343A"/>
    <w:rsid w:val="001470CC"/>
    <w:rsid w:val="00155438"/>
    <w:rsid w:val="00156043"/>
    <w:rsid w:val="0016344E"/>
    <w:rsid w:val="0017473D"/>
    <w:rsid w:val="00174811"/>
    <w:rsid w:val="00176DDF"/>
    <w:rsid w:val="001772AF"/>
    <w:rsid w:val="001777D1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0296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0B0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2828"/>
    <w:rsid w:val="003653CE"/>
    <w:rsid w:val="00372810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E1159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31D16"/>
    <w:rsid w:val="004373D2"/>
    <w:rsid w:val="004457A2"/>
    <w:rsid w:val="004465C9"/>
    <w:rsid w:val="00447438"/>
    <w:rsid w:val="004500EC"/>
    <w:rsid w:val="00451479"/>
    <w:rsid w:val="00461153"/>
    <w:rsid w:val="00465CFF"/>
    <w:rsid w:val="004677EE"/>
    <w:rsid w:val="004749C2"/>
    <w:rsid w:val="00485244"/>
    <w:rsid w:val="00485E8C"/>
    <w:rsid w:val="0048618C"/>
    <w:rsid w:val="004877F2"/>
    <w:rsid w:val="00491016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1489"/>
    <w:rsid w:val="005031AD"/>
    <w:rsid w:val="0050657F"/>
    <w:rsid w:val="00507BF3"/>
    <w:rsid w:val="0051422F"/>
    <w:rsid w:val="005174F9"/>
    <w:rsid w:val="00520F39"/>
    <w:rsid w:val="005233F4"/>
    <w:rsid w:val="00527832"/>
    <w:rsid w:val="00530133"/>
    <w:rsid w:val="00530280"/>
    <w:rsid w:val="00537EBA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76A53"/>
    <w:rsid w:val="00594857"/>
    <w:rsid w:val="005A1BE8"/>
    <w:rsid w:val="005A2D8E"/>
    <w:rsid w:val="005A541A"/>
    <w:rsid w:val="005A7AD9"/>
    <w:rsid w:val="005B5E52"/>
    <w:rsid w:val="005C5BFD"/>
    <w:rsid w:val="005E3C68"/>
    <w:rsid w:val="005E4173"/>
    <w:rsid w:val="005E4F9E"/>
    <w:rsid w:val="005F2934"/>
    <w:rsid w:val="005F7840"/>
    <w:rsid w:val="0060368C"/>
    <w:rsid w:val="00610BC6"/>
    <w:rsid w:val="006114A5"/>
    <w:rsid w:val="00612ACB"/>
    <w:rsid w:val="006228DB"/>
    <w:rsid w:val="00624EF8"/>
    <w:rsid w:val="006265C3"/>
    <w:rsid w:val="00627B7A"/>
    <w:rsid w:val="006324A4"/>
    <w:rsid w:val="00636044"/>
    <w:rsid w:val="0063735E"/>
    <w:rsid w:val="0063755B"/>
    <w:rsid w:val="00640C06"/>
    <w:rsid w:val="00640CAD"/>
    <w:rsid w:val="00646388"/>
    <w:rsid w:val="0065393F"/>
    <w:rsid w:val="00657CC1"/>
    <w:rsid w:val="00660511"/>
    <w:rsid w:val="00664EFD"/>
    <w:rsid w:val="00664F55"/>
    <w:rsid w:val="00672BED"/>
    <w:rsid w:val="006745BC"/>
    <w:rsid w:val="00676D60"/>
    <w:rsid w:val="00680AB0"/>
    <w:rsid w:val="00691F06"/>
    <w:rsid w:val="00694DD5"/>
    <w:rsid w:val="00695709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3676B"/>
    <w:rsid w:val="00741B61"/>
    <w:rsid w:val="00742C30"/>
    <w:rsid w:val="00746D1E"/>
    <w:rsid w:val="00746D8A"/>
    <w:rsid w:val="00751260"/>
    <w:rsid w:val="00751B1E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C0EE0"/>
    <w:rsid w:val="007C441C"/>
    <w:rsid w:val="007C5E22"/>
    <w:rsid w:val="007D0A56"/>
    <w:rsid w:val="007D58A8"/>
    <w:rsid w:val="007D712D"/>
    <w:rsid w:val="007E367E"/>
    <w:rsid w:val="007F10C6"/>
    <w:rsid w:val="007F3C9A"/>
    <w:rsid w:val="007F52D5"/>
    <w:rsid w:val="00801B30"/>
    <w:rsid w:val="00801C4B"/>
    <w:rsid w:val="00803314"/>
    <w:rsid w:val="0080436A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C17FD"/>
    <w:rsid w:val="008C4AD3"/>
    <w:rsid w:val="008C56B8"/>
    <w:rsid w:val="008D0874"/>
    <w:rsid w:val="008D0D5D"/>
    <w:rsid w:val="008D6EE4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2E27"/>
    <w:rsid w:val="009F333D"/>
    <w:rsid w:val="009F4738"/>
    <w:rsid w:val="00A03345"/>
    <w:rsid w:val="00A049DA"/>
    <w:rsid w:val="00A05F7F"/>
    <w:rsid w:val="00A06130"/>
    <w:rsid w:val="00A06BD5"/>
    <w:rsid w:val="00A1032F"/>
    <w:rsid w:val="00A233C2"/>
    <w:rsid w:val="00A26DC5"/>
    <w:rsid w:val="00A278FC"/>
    <w:rsid w:val="00A302DA"/>
    <w:rsid w:val="00A30C94"/>
    <w:rsid w:val="00A335B8"/>
    <w:rsid w:val="00A34FD3"/>
    <w:rsid w:val="00A42EC9"/>
    <w:rsid w:val="00A4302A"/>
    <w:rsid w:val="00A43723"/>
    <w:rsid w:val="00A43AC7"/>
    <w:rsid w:val="00A44605"/>
    <w:rsid w:val="00A46318"/>
    <w:rsid w:val="00A46EF5"/>
    <w:rsid w:val="00A47C9D"/>
    <w:rsid w:val="00A512F2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6B03"/>
    <w:rsid w:val="00AB130D"/>
    <w:rsid w:val="00AB1467"/>
    <w:rsid w:val="00AB1A71"/>
    <w:rsid w:val="00AB4714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27301"/>
    <w:rsid w:val="00B335A3"/>
    <w:rsid w:val="00B41F50"/>
    <w:rsid w:val="00B41F7E"/>
    <w:rsid w:val="00B44B6B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121"/>
    <w:rsid w:val="00BD3E5C"/>
    <w:rsid w:val="00BE0F3B"/>
    <w:rsid w:val="00BF0D55"/>
    <w:rsid w:val="00BF443C"/>
    <w:rsid w:val="00BF6404"/>
    <w:rsid w:val="00C02DDC"/>
    <w:rsid w:val="00C04148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D66BE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051A"/>
    <w:rsid w:val="00D51039"/>
    <w:rsid w:val="00D53F4E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7E2C"/>
    <w:rsid w:val="00ED6B8D"/>
    <w:rsid w:val="00EE0091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2A23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74AE3"/>
    <w:rsid w:val="00F826A4"/>
    <w:rsid w:val="00F82DE5"/>
    <w:rsid w:val="00F92AD3"/>
    <w:rsid w:val="00F93488"/>
    <w:rsid w:val="00F93EC0"/>
    <w:rsid w:val="00F9506E"/>
    <w:rsid w:val="00F954EF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3A403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Normal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Normal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2CB9"/>
    <w:rPr>
      <w:rFonts w:ascii="Arial" w:hAnsi="Arial"/>
      <w:sz w:val="22"/>
    </w:rPr>
  </w:style>
  <w:style w:type="character" w:styleId="CommentReference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1E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251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1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51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302</Words>
  <Characters>1758</Characters>
  <Application>Microsoft Office Word</Application>
  <DocSecurity>0</DocSecurity>
  <Lines>129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Editor</cp:lastModifiedBy>
  <cp:revision>62</cp:revision>
  <cp:lastPrinted>2020-02-06T07:50:00Z</cp:lastPrinted>
  <dcterms:created xsi:type="dcterms:W3CDTF">2024-10-22T10:21:00Z</dcterms:created>
  <dcterms:modified xsi:type="dcterms:W3CDTF">2026-03-20T08:25:00Z</dcterms:modified>
</cp:coreProperties>
</file>