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27FAC723" w:rsidR="00445DCE" w:rsidRDefault="00922518" w:rsidP="00445DCE">
      <w:pPr>
        <w:rPr>
          <w:rFonts w:cstheme="minorHAnsi"/>
          <w:b/>
          <w:bCs/>
          <w:i/>
          <w:iCs/>
          <w:color w:val="D20A10"/>
          <w:sz w:val="36"/>
          <w:szCs w:val="36"/>
        </w:rPr>
      </w:pPr>
      <w:r>
        <w:rPr>
          <w:b/>
          <w:i/>
          <w:color w:val="D20A10"/>
          <w:sz w:val="36"/>
        </w:rPr>
        <w:t>Meerwaarde voor elk plat dak</w:t>
      </w:r>
      <w:r>
        <w:br/>
      </w:r>
      <w:r>
        <w:rPr>
          <w:rFonts w:asciiTheme="minorHAnsi" w:hAnsiTheme="minorHAnsi"/>
          <w:sz w:val="28"/>
        </w:rPr>
        <w:t>De firma Richard Brink presenteert onderconstructies voor zonnepanelen op de Intersolar Europe</w:t>
      </w:r>
    </w:p>
    <w:p w14:paraId="0A3CB9EA" w14:textId="470609D8" w:rsidR="00480B26" w:rsidRPr="00445DCE" w:rsidRDefault="00C55CBC" w:rsidP="00445DCE">
      <w:pPr>
        <w:rPr>
          <w:rFonts w:cstheme="minorHAnsi"/>
          <w:b/>
          <w:bCs/>
          <w:i/>
          <w:iCs/>
          <w:color w:val="D20A10"/>
          <w:sz w:val="36"/>
          <w:szCs w:val="36"/>
        </w:rPr>
      </w:pPr>
      <w:r>
        <w:rPr>
          <w:rFonts w:asciiTheme="minorHAnsi" w:hAnsiTheme="minorHAnsi"/>
          <w:sz w:val="24"/>
        </w:rPr>
        <w:br/>
        <w:t>Schloß Holte-Stukenbrock, 14-5-2025:</w:t>
      </w:r>
    </w:p>
    <w:p w14:paraId="15AF8757" w14:textId="23F1A821" w:rsidR="00480B26" w:rsidRPr="000076D2" w:rsidRDefault="00DF0326" w:rsidP="000076D2">
      <w:pPr>
        <w:spacing w:line="360" w:lineRule="auto"/>
        <w:ind w:right="-285"/>
        <w:rPr>
          <w:rFonts w:asciiTheme="minorHAnsi" w:hAnsiTheme="minorHAnsi" w:cstheme="minorHAnsi"/>
          <w:b/>
          <w:bCs/>
          <w:sz w:val="24"/>
          <w:szCs w:val="24"/>
        </w:rPr>
      </w:pPr>
      <w:r>
        <w:rPr>
          <w:rFonts w:asciiTheme="minorHAnsi" w:hAnsiTheme="minorHAnsi"/>
          <w:b/>
          <w:sz w:val="24"/>
        </w:rPr>
        <w:t>“The smarter E Europe”, de grootste beursalliantie voor de energiesector, vond in dit kalenderjaar plaats van 7 t/m 9 mei. Deel van de overkoepelende organisatie is ook de Intersolar Europe die in de afgelopen jaren een vast onderdeel is geworden in de beursplanning van de firma Richard Brink. In de hallen op het beursterrein in München presenteerde de Oost-Westfaalse metaalwarenspecialist zijn volledige “Miralux”-assortiment van zonnepaneel-onderconstructies.</w:t>
      </w:r>
    </w:p>
    <w:p w14:paraId="3E1A089D" w14:textId="76D522A9" w:rsidR="000076D2" w:rsidRPr="00925304" w:rsidRDefault="005B16A2" w:rsidP="00DF0326">
      <w:pPr>
        <w:spacing w:line="360" w:lineRule="auto"/>
        <w:rPr>
          <w:rFonts w:asciiTheme="minorHAnsi" w:hAnsiTheme="minorHAnsi" w:cstheme="minorHAnsi"/>
          <w:sz w:val="24"/>
          <w:szCs w:val="24"/>
        </w:rPr>
      </w:pPr>
      <w:r>
        <w:rPr>
          <w:rFonts w:asciiTheme="minorHAnsi" w:hAnsiTheme="minorHAnsi"/>
          <w:sz w:val="24"/>
        </w:rPr>
        <w:t>De 4-in-1 beurs “The smarter E Europe” had een indrukwekkend resultaat: er waren ongeveer 2.700 exposanten uit 57 landen aanwezig waar meer dan 100.000 bezoekers uit de hele wereld op afkwamen. Algemeen werd geconcludeerd dat de totale cijfers een positief signaal afgaven. Dat was ook precies waar de hele sector op had gehoopt: een sterkere positie in de huidige energietransitie.</w:t>
      </w:r>
    </w:p>
    <w:p w14:paraId="7B454698" w14:textId="0293D459" w:rsidR="007B6F94" w:rsidRDefault="00922518"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 xml:space="preserve">Toekomst betekent duurzaamheid - ook bij </w:t>
      </w:r>
      <w:r w:rsidR="007A6DE3">
        <w:rPr>
          <w:rFonts w:asciiTheme="minorHAnsi" w:hAnsiTheme="minorHAnsi"/>
          <w:b/>
          <w:color w:val="D20A10"/>
          <w:sz w:val="24"/>
        </w:rPr>
        <w:t xml:space="preserve">het </w:t>
      </w:r>
      <w:r w:rsidR="00481C29">
        <w:rPr>
          <w:rFonts w:asciiTheme="minorHAnsi" w:hAnsiTheme="minorHAnsi"/>
          <w:b/>
          <w:color w:val="D20A10"/>
          <w:sz w:val="24"/>
        </w:rPr>
        <w:t>gebruik van daken</w:t>
      </w:r>
    </w:p>
    <w:p w14:paraId="53FF7B71" w14:textId="47462EE6" w:rsidR="000076D2" w:rsidRPr="008E4713" w:rsidRDefault="00BC0E92" w:rsidP="00CB495D">
      <w:pPr>
        <w:spacing w:line="360" w:lineRule="auto"/>
        <w:rPr>
          <w:rFonts w:asciiTheme="minorHAnsi" w:hAnsiTheme="minorHAnsi" w:cstheme="minorHAnsi"/>
          <w:sz w:val="24"/>
          <w:szCs w:val="24"/>
        </w:rPr>
      </w:pPr>
      <w:r>
        <w:rPr>
          <w:rFonts w:asciiTheme="minorHAnsi" w:hAnsiTheme="minorHAnsi"/>
          <w:sz w:val="24"/>
        </w:rPr>
        <w:t xml:space="preserve">De presentatie van Richard Brink GmbH &amp; Co. KG tijdens de Intersolar Europe-beurs concentreerde zich rondom de “Miralux”, het modulehoudersysteem voor zonnepanelen van eigen fabricaat. Hiertoe behoren allereerst de “Miralux Flex”-verhogingen voor montage op platte daken in zowel zuidelijke als oostwestelijke richting. Deze zijn geschikt voor de flexibele montage van alle op de markt verkrijgbare paneelformaten. Het systeem is aantrekkelijk vanwege zijn modulair uitbreidbare opbouw die ruimtebesparend is tijdens het vervoer en op locatie zonder gereedschap kan worden opengeklapt. Het vakpubliek dat de drukbezochte stand 630 in hal A5 een bezoek bracht, </w:t>
      </w:r>
      <w:r>
        <w:rPr>
          <w:rFonts w:asciiTheme="minorHAnsi" w:hAnsiTheme="minorHAnsi"/>
          <w:sz w:val="24"/>
        </w:rPr>
        <w:lastRenderedPageBreak/>
        <w:t>toonde niet alleen veel interesse in de onderconstructies, maar ook in de oplossingen in combinatie met een groen dak.</w:t>
      </w:r>
    </w:p>
    <w:p w14:paraId="33495697" w14:textId="6DDB3134" w:rsidR="004B3FE1" w:rsidRDefault="0035037C" w:rsidP="00CB495D">
      <w:pPr>
        <w:spacing w:line="360" w:lineRule="auto"/>
        <w:rPr>
          <w:rFonts w:asciiTheme="minorHAnsi" w:hAnsiTheme="minorHAnsi" w:cstheme="minorHAnsi"/>
          <w:sz w:val="24"/>
          <w:szCs w:val="24"/>
        </w:rPr>
      </w:pPr>
      <w:r>
        <w:rPr>
          <w:rFonts w:asciiTheme="minorHAnsi" w:hAnsiTheme="minorHAnsi"/>
          <w:sz w:val="24"/>
        </w:rPr>
        <w:t xml:space="preserve">Voor de uitvoering in oostwestelijke richting biedt de fabrikant een zelf geproduceerde verhoging van 60 cm die extensive vergroening onder de panelen mogelijk maakt. Het systeem is zowel geschikt voor nieuwbouw als voor bestaande groene daken. In het laatste geval hoeft de bestaande groenzone enkel geopend te worden ter hoogte van de betonnen ballaststenen (ook meegeleverd) die rusten op de dakafdichting. De ballast, de verhogingen en de zonnepaneel-onderconstructies worden vervolgens onderling vastgeschroefd. </w:t>
      </w:r>
    </w:p>
    <w:p w14:paraId="39E7F421" w14:textId="6A821B2C" w:rsidR="00480B26" w:rsidRDefault="00E96BFA" w:rsidP="00CB495D">
      <w:pPr>
        <w:spacing w:line="360" w:lineRule="auto"/>
        <w:rPr>
          <w:rFonts w:asciiTheme="minorHAnsi" w:hAnsiTheme="minorHAnsi" w:cstheme="minorHAnsi"/>
          <w:sz w:val="24"/>
          <w:szCs w:val="24"/>
        </w:rPr>
      </w:pPr>
      <w:r>
        <w:rPr>
          <w:rFonts w:asciiTheme="minorHAnsi" w:hAnsiTheme="minorHAnsi"/>
          <w:sz w:val="24"/>
        </w:rPr>
        <w:t>Met de zelfstandige productvariant “Miralux Green” wordt nog een stap verder gegaan, want hierbij zijn het groendak en de zonnepaneel-onderconstructie in één systeem samengebracht. Hierbij fungeren sedum en substraat bovendien als ballast. Omdat het assortiment van het familiebedrijf uit het Duitse Schloß Holte-Stukenbrock ook oplossingen voor extensieve dakbegroeiing bevat, krijgen klanten het volledige pakket voor hun combinatie van groendak en zonnepanelen uit één hand.</w:t>
      </w:r>
    </w:p>
    <w:p w14:paraId="33FA0496" w14:textId="55BF84E8" w:rsidR="00922518" w:rsidRPr="00922518" w:rsidRDefault="00235D0A" w:rsidP="00CB495D">
      <w:pPr>
        <w:spacing w:line="360" w:lineRule="auto"/>
        <w:rPr>
          <w:rFonts w:asciiTheme="minorHAnsi" w:hAnsiTheme="minorHAnsi" w:cstheme="minorHAnsi"/>
          <w:b/>
          <w:color w:val="D20A10"/>
          <w:sz w:val="24"/>
          <w:szCs w:val="24"/>
        </w:rPr>
      </w:pPr>
      <w:r>
        <w:rPr>
          <w:rFonts w:asciiTheme="minorHAnsi" w:hAnsiTheme="minorHAnsi"/>
          <w:b/>
          <w:color w:val="D20A10"/>
          <w:sz w:val="24"/>
        </w:rPr>
        <w:t>Bevestiging van strategische beslissingen</w:t>
      </w:r>
    </w:p>
    <w:p w14:paraId="19774F55" w14:textId="4C59C45D" w:rsidR="00480B26" w:rsidRDefault="00E96BFA" w:rsidP="005B1417">
      <w:pPr>
        <w:spacing w:line="360" w:lineRule="auto"/>
        <w:rPr>
          <w:rFonts w:asciiTheme="minorHAnsi" w:hAnsiTheme="minorHAnsi" w:cstheme="minorHAnsi"/>
          <w:sz w:val="24"/>
          <w:szCs w:val="24"/>
        </w:rPr>
      </w:pPr>
      <w:r>
        <w:rPr>
          <w:rFonts w:asciiTheme="minorHAnsi" w:hAnsiTheme="minorHAnsi"/>
          <w:sz w:val="24"/>
        </w:rPr>
        <w:t xml:space="preserve">“Tijdens de adviesgesprekken kregen we van klanten de bevestiging dat vooral aspecten als de snelle levering en de gebruiksvriendelijkheid grote pluspunten zijn van de zonnepaneel-onderconstructies. Ook de combinatiemogelijkheden met dakbegroeiing wekte veel interesse op. We zijn dan ook blij dat we met onze oplossingen precies aan deze eisen kunnen voldoen. Dankzij landelijke subsidieregelingen blijft de vraag naar zonne- en PV-systemen - en dus ook naar houders - onverminderd groot. Door de grote variatie aan producten met talloze alternatieven op de markt is een individueel, persoonlijk advies onontbeerlijk. De Intersolar Europe bood ons </w:t>
      </w:r>
      <w:r>
        <w:rPr>
          <w:rFonts w:asciiTheme="minorHAnsi" w:hAnsiTheme="minorHAnsi"/>
          <w:sz w:val="24"/>
        </w:rPr>
        <w:lastRenderedPageBreak/>
        <w:t>hiervoor een uitstekende gelegenheid", zo luidt de conclusie van directeur Stefan Brink aan het einde van de beursdagen.</w:t>
      </w:r>
    </w:p>
    <w:p w14:paraId="51D0C6C9" w14:textId="5051F594" w:rsidR="001A053B" w:rsidRPr="00CE41AC" w:rsidRDefault="006B15AF" w:rsidP="005B1417">
      <w:pPr>
        <w:spacing w:line="360" w:lineRule="auto"/>
        <w:rPr>
          <w:rFonts w:asciiTheme="minorHAnsi" w:hAnsiTheme="minorHAnsi" w:cstheme="minorHAnsi"/>
          <w:sz w:val="24"/>
          <w:szCs w:val="24"/>
        </w:rPr>
      </w:pPr>
      <w:r>
        <w:rPr>
          <w:rFonts w:asciiTheme="minorHAnsi" w:hAnsiTheme="minorHAnsi"/>
          <w:b/>
          <w:sz w:val="24"/>
        </w:rPr>
        <w:t xml:space="preserve">(ca. </w:t>
      </w:r>
      <w:r>
        <w:rPr>
          <w:rFonts w:asciiTheme="minorHAnsi" w:hAnsiTheme="minorHAnsi"/>
          <w:b/>
          <w:color w:val="FF0000"/>
          <w:sz w:val="24"/>
        </w:rPr>
        <w:t>3.</w:t>
      </w:r>
      <w:r w:rsidR="00D22323">
        <w:rPr>
          <w:rFonts w:asciiTheme="minorHAnsi" w:hAnsiTheme="minorHAnsi"/>
          <w:b/>
          <w:color w:val="FF0000"/>
          <w:sz w:val="24"/>
        </w:rPr>
        <w:t>6</w:t>
      </w:r>
      <w:r>
        <w:rPr>
          <w:rFonts w:asciiTheme="minorHAnsi" w:hAnsiTheme="minorHAnsi"/>
          <w:b/>
          <w:color w:val="FF0000"/>
          <w:sz w:val="24"/>
        </w:rPr>
        <w:t>50</w:t>
      </w:r>
      <w:r>
        <w:rPr>
          <w:rFonts w:asciiTheme="minorHAnsi" w:hAnsiTheme="minorHAnsi"/>
          <w:b/>
          <w:sz w:val="24"/>
        </w:rPr>
        <w:t xml:space="preserve">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8"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9"/>
      <w:headerReference w:type="default" r:id="rId10"/>
      <w:footerReference w:type="even" r:id="rId11"/>
      <w:footerReference w:type="default" r:id="rId12"/>
      <w:headerReference w:type="first" r:id="rId13"/>
      <w:footerReference w:type="first" r:id="rId14"/>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3C5A" w14:textId="77777777" w:rsidR="00D47331" w:rsidRDefault="00D47331" w:rsidP="002D5283">
      <w:pPr>
        <w:spacing w:after="0" w:line="240" w:lineRule="auto"/>
      </w:pPr>
      <w:r>
        <w:separator/>
      </w:r>
    </w:p>
  </w:endnote>
  <w:endnote w:type="continuationSeparator" w:id="0">
    <w:p w14:paraId="76699C91" w14:textId="77777777" w:rsidR="00D47331" w:rsidRDefault="00D4733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1AFD" w14:textId="77777777" w:rsidR="00AE3BA5" w:rsidRDefault="00AE3B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D47331">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781C" w14:textId="77777777" w:rsidR="00AE3BA5" w:rsidRDefault="00AE3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F62E" w14:textId="77777777" w:rsidR="00D47331" w:rsidRDefault="00D47331" w:rsidP="002D5283">
      <w:pPr>
        <w:spacing w:after="0" w:line="240" w:lineRule="auto"/>
      </w:pPr>
      <w:r>
        <w:separator/>
      </w:r>
    </w:p>
  </w:footnote>
  <w:footnote w:type="continuationSeparator" w:id="0">
    <w:p w14:paraId="1E555662" w14:textId="77777777" w:rsidR="00D47331" w:rsidRDefault="00D4733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B1DC" w14:textId="77777777" w:rsidR="00AE3BA5" w:rsidRDefault="00AE3B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D47331">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7F514D54" w:rsidR="00EE7ED8" w:rsidRPr="00FD2C26" w:rsidRDefault="00810767" w:rsidP="007D13EF">
    <w:pPr>
      <w:pStyle w:val="Kopfzeile"/>
      <w:rPr>
        <w:rFonts w:asciiTheme="minorHAnsi" w:hAnsiTheme="minorHAnsi" w:cstheme="minorHAnsi"/>
        <w:color w:val="808080"/>
        <w:sz w:val="52"/>
        <w:szCs w:val="52"/>
      </w:rPr>
    </w:pPr>
    <w:r>
      <w:rPr>
        <w:rFonts w:asciiTheme="minorHAnsi" w:hAnsiTheme="minorHAnsi"/>
        <w:color w:val="808080"/>
        <w:sz w:val="52"/>
      </w:rPr>
      <w:t>Beursverslag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CCFD" w14:textId="77777777" w:rsidR="00AE3BA5" w:rsidRDefault="00AE3B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1CAC"/>
    <w:multiLevelType w:val="hybridMultilevel"/>
    <w:tmpl w:val="405C8A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1AE6"/>
    <w:rsid w:val="00022156"/>
    <w:rsid w:val="0002219E"/>
    <w:rsid w:val="0002224B"/>
    <w:rsid w:val="00022430"/>
    <w:rsid w:val="00022A50"/>
    <w:rsid w:val="000243F5"/>
    <w:rsid w:val="000245F2"/>
    <w:rsid w:val="00026CEF"/>
    <w:rsid w:val="0003089B"/>
    <w:rsid w:val="000308FC"/>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38C3"/>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0E16"/>
    <w:rsid w:val="000F1F89"/>
    <w:rsid w:val="000F2107"/>
    <w:rsid w:val="000F3E3C"/>
    <w:rsid w:val="000F5123"/>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67543"/>
    <w:rsid w:val="001713D3"/>
    <w:rsid w:val="001736C5"/>
    <w:rsid w:val="00173CFC"/>
    <w:rsid w:val="001775A5"/>
    <w:rsid w:val="0018079E"/>
    <w:rsid w:val="00180F1C"/>
    <w:rsid w:val="0018106A"/>
    <w:rsid w:val="00182097"/>
    <w:rsid w:val="0018249B"/>
    <w:rsid w:val="0018295D"/>
    <w:rsid w:val="00182EC8"/>
    <w:rsid w:val="00183DBD"/>
    <w:rsid w:val="00185969"/>
    <w:rsid w:val="0018645C"/>
    <w:rsid w:val="00187B7E"/>
    <w:rsid w:val="00190F1A"/>
    <w:rsid w:val="00191CE5"/>
    <w:rsid w:val="00191F62"/>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5D0A"/>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A24"/>
    <w:rsid w:val="00273516"/>
    <w:rsid w:val="0027378B"/>
    <w:rsid w:val="002744A0"/>
    <w:rsid w:val="0027470A"/>
    <w:rsid w:val="00274CB3"/>
    <w:rsid w:val="00275DFF"/>
    <w:rsid w:val="00276557"/>
    <w:rsid w:val="002767AB"/>
    <w:rsid w:val="0027693D"/>
    <w:rsid w:val="002776E6"/>
    <w:rsid w:val="00281603"/>
    <w:rsid w:val="00281753"/>
    <w:rsid w:val="00281E96"/>
    <w:rsid w:val="002830E4"/>
    <w:rsid w:val="00283FE7"/>
    <w:rsid w:val="002843B1"/>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0173"/>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EA3"/>
    <w:rsid w:val="00346E12"/>
    <w:rsid w:val="0035019C"/>
    <w:rsid w:val="0035037C"/>
    <w:rsid w:val="00351784"/>
    <w:rsid w:val="003536DC"/>
    <w:rsid w:val="00354210"/>
    <w:rsid w:val="00354272"/>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3F79B6"/>
    <w:rsid w:val="0040090D"/>
    <w:rsid w:val="00400A87"/>
    <w:rsid w:val="00400C42"/>
    <w:rsid w:val="004015C2"/>
    <w:rsid w:val="00401BC4"/>
    <w:rsid w:val="004024DA"/>
    <w:rsid w:val="00403511"/>
    <w:rsid w:val="00403D67"/>
    <w:rsid w:val="00404A13"/>
    <w:rsid w:val="00405401"/>
    <w:rsid w:val="00407160"/>
    <w:rsid w:val="00407702"/>
    <w:rsid w:val="00407C2A"/>
    <w:rsid w:val="00410398"/>
    <w:rsid w:val="00411BEB"/>
    <w:rsid w:val="00411E1E"/>
    <w:rsid w:val="0041436F"/>
    <w:rsid w:val="004153DB"/>
    <w:rsid w:val="004158AC"/>
    <w:rsid w:val="004166BB"/>
    <w:rsid w:val="004176F2"/>
    <w:rsid w:val="00417837"/>
    <w:rsid w:val="00417947"/>
    <w:rsid w:val="004217DD"/>
    <w:rsid w:val="00422999"/>
    <w:rsid w:val="00422F93"/>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7B75"/>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1C29"/>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3FE1"/>
    <w:rsid w:val="004B5AD1"/>
    <w:rsid w:val="004B65A2"/>
    <w:rsid w:val="004C0491"/>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5FDF"/>
    <w:rsid w:val="005260B2"/>
    <w:rsid w:val="005279C2"/>
    <w:rsid w:val="00530E5D"/>
    <w:rsid w:val="0053102C"/>
    <w:rsid w:val="00533D7F"/>
    <w:rsid w:val="00536179"/>
    <w:rsid w:val="00536531"/>
    <w:rsid w:val="0054137E"/>
    <w:rsid w:val="005440C7"/>
    <w:rsid w:val="00547418"/>
    <w:rsid w:val="00551058"/>
    <w:rsid w:val="005513AF"/>
    <w:rsid w:val="00552DC3"/>
    <w:rsid w:val="0055364D"/>
    <w:rsid w:val="00553ABC"/>
    <w:rsid w:val="00554212"/>
    <w:rsid w:val="00555CDE"/>
    <w:rsid w:val="00557254"/>
    <w:rsid w:val="00557E8A"/>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6A2"/>
    <w:rsid w:val="005B1CB4"/>
    <w:rsid w:val="005B231E"/>
    <w:rsid w:val="005B25EB"/>
    <w:rsid w:val="005B3180"/>
    <w:rsid w:val="005B3938"/>
    <w:rsid w:val="005B4A61"/>
    <w:rsid w:val="005B53C3"/>
    <w:rsid w:val="005B633A"/>
    <w:rsid w:val="005C2EC3"/>
    <w:rsid w:val="005C38CF"/>
    <w:rsid w:val="005C5481"/>
    <w:rsid w:val="005C5C4D"/>
    <w:rsid w:val="005C79B1"/>
    <w:rsid w:val="005C7A76"/>
    <w:rsid w:val="005D1E14"/>
    <w:rsid w:val="005D3E2B"/>
    <w:rsid w:val="005D548B"/>
    <w:rsid w:val="005D5A25"/>
    <w:rsid w:val="005D5B80"/>
    <w:rsid w:val="005D5CB8"/>
    <w:rsid w:val="005E0307"/>
    <w:rsid w:val="005E0722"/>
    <w:rsid w:val="005E158A"/>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976"/>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2BA"/>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6C54"/>
    <w:rsid w:val="00687067"/>
    <w:rsid w:val="00687934"/>
    <w:rsid w:val="00690590"/>
    <w:rsid w:val="006918CD"/>
    <w:rsid w:val="00692089"/>
    <w:rsid w:val="00692F15"/>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A6DE3"/>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6E56"/>
    <w:rsid w:val="008009F3"/>
    <w:rsid w:val="00800EE2"/>
    <w:rsid w:val="008011CF"/>
    <w:rsid w:val="008014C2"/>
    <w:rsid w:val="0080218D"/>
    <w:rsid w:val="00803015"/>
    <w:rsid w:val="00806550"/>
    <w:rsid w:val="00807F31"/>
    <w:rsid w:val="00810767"/>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3CE1"/>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518"/>
    <w:rsid w:val="00922B7D"/>
    <w:rsid w:val="009236FA"/>
    <w:rsid w:val="0092435D"/>
    <w:rsid w:val="009243A2"/>
    <w:rsid w:val="00925304"/>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71003"/>
    <w:rsid w:val="009719EF"/>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CCA"/>
    <w:rsid w:val="00A010ED"/>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4538"/>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3086"/>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3BA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0E92"/>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37F3"/>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A01"/>
    <w:rsid w:val="00C77BE9"/>
    <w:rsid w:val="00C80B77"/>
    <w:rsid w:val="00C80CD4"/>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495D"/>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323"/>
    <w:rsid w:val="00D22682"/>
    <w:rsid w:val="00D229DA"/>
    <w:rsid w:val="00D22F3D"/>
    <w:rsid w:val="00D24D8F"/>
    <w:rsid w:val="00D25D6D"/>
    <w:rsid w:val="00D26D7E"/>
    <w:rsid w:val="00D31404"/>
    <w:rsid w:val="00D327AD"/>
    <w:rsid w:val="00D33ECB"/>
    <w:rsid w:val="00D348AF"/>
    <w:rsid w:val="00D400CB"/>
    <w:rsid w:val="00D401DC"/>
    <w:rsid w:val="00D42943"/>
    <w:rsid w:val="00D42BAB"/>
    <w:rsid w:val="00D45305"/>
    <w:rsid w:val="00D460B1"/>
    <w:rsid w:val="00D46D99"/>
    <w:rsid w:val="00D47331"/>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8C7"/>
    <w:rsid w:val="00DD5F36"/>
    <w:rsid w:val="00DD6880"/>
    <w:rsid w:val="00DD79D2"/>
    <w:rsid w:val="00DE1ED0"/>
    <w:rsid w:val="00DE259C"/>
    <w:rsid w:val="00DE59F8"/>
    <w:rsid w:val="00DF0326"/>
    <w:rsid w:val="00DF062E"/>
    <w:rsid w:val="00DF3A97"/>
    <w:rsid w:val="00DF3F20"/>
    <w:rsid w:val="00DF4EB2"/>
    <w:rsid w:val="00DF76FE"/>
    <w:rsid w:val="00E0284F"/>
    <w:rsid w:val="00E02B1F"/>
    <w:rsid w:val="00E077E3"/>
    <w:rsid w:val="00E110A2"/>
    <w:rsid w:val="00E12CA3"/>
    <w:rsid w:val="00E13804"/>
    <w:rsid w:val="00E14A86"/>
    <w:rsid w:val="00E15DCE"/>
    <w:rsid w:val="00E167A7"/>
    <w:rsid w:val="00E17643"/>
    <w:rsid w:val="00E20351"/>
    <w:rsid w:val="00E20DB6"/>
    <w:rsid w:val="00E242FB"/>
    <w:rsid w:val="00E25182"/>
    <w:rsid w:val="00E25638"/>
    <w:rsid w:val="00E25AAF"/>
    <w:rsid w:val="00E2665F"/>
    <w:rsid w:val="00E26F0E"/>
    <w:rsid w:val="00E30E43"/>
    <w:rsid w:val="00E31382"/>
    <w:rsid w:val="00E31F19"/>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A37"/>
    <w:rsid w:val="00E57143"/>
    <w:rsid w:val="00E6249E"/>
    <w:rsid w:val="00E671B6"/>
    <w:rsid w:val="00E72327"/>
    <w:rsid w:val="00E723E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582"/>
    <w:rsid w:val="00E90839"/>
    <w:rsid w:val="00E93DD6"/>
    <w:rsid w:val="00E93FA5"/>
    <w:rsid w:val="00E9434B"/>
    <w:rsid w:val="00E95028"/>
    <w:rsid w:val="00E957E1"/>
    <w:rsid w:val="00E96AF4"/>
    <w:rsid w:val="00E96BFA"/>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4E9"/>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25B9"/>
    <w:rsid w:val="00F330CA"/>
    <w:rsid w:val="00F3361A"/>
    <w:rsid w:val="00F348AC"/>
    <w:rsid w:val="00F34C91"/>
    <w:rsid w:val="00F35A04"/>
    <w:rsid w:val="00F37F56"/>
    <w:rsid w:val="00F41428"/>
    <w:rsid w:val="00F421D2"/>
    <w:rsid w:val="00F46190"/>
    <w:rsid w:val="00F46A0F"/>
    <w:rsid w:val="00F46A12"/>
    <w:rsid w:val="00F46BDE"/>
    <w:rsid w:val="00F477A4"/>
    <w:rsid w:val="00F50D45"/>
    <w:rsid w:val="00F5148E"/>
    <w:rsid w:val="00F516B3"/>
    <w:rsid w:val="00F53162"/>
    <w:rsid w:val="00F54A11"/>
    <w:rsid w:val="00F54D1C"/>
    <w:rsid w:val="00F5501D"/>
    <w:rsid w:val="00F553D6"/>
    <w:rsid w:val="00F55BFA"/>
    <w:rsid w:val="00F6074C"/>
    <w:rsid w:val="00F621F2"/>
    <w:rsid w:val="00F70650"/>
    <w:rsid w:val="00F71234"/>
    <w:rsid w:val="00F75624"/>
    <w:rsid w:val="00F76134"/>
    <w:rsid w:val="00F80B91"/>
    <w:rsid w:val="00F811B9"/>
    <w:rsid w:val="00F81F7F"/>
    <w:rsid w:val="00F838C1"/>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76"/>
    <w:rsid w:val="00FF69B7"/>
    <w:rsid w:val="00FF7141"/>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 w:type="paragraph" w:styleId="Listenabsatz">
    <w:name w:val="List Paragraph"/>
    <w:basedOn w:val="Standard"/>
    <w:uiPriority w:val="34"/>
    <w:qFormat/>
    <w:rsid w:val="00DF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372</cp:revision>
  <cp:lastPrinted>2020-02-05T14:19:00Z</cp:lastPrinted>
  <dcterms:created xsi:type="dcterms:W3CDTF">2017-07-10T11:03:00Z</dcterms:created>
  <dcterms:modified xsi:type="dcterms:W3CDTF">2025-05-21T07:39:00Z</dcterms:modified>
</cp:coreProperties>
</file>