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DB6C" w14:textId="057725B9" w:rsidR="007760EB" w:rsidRPr="003D0251" w:rsidRDefault="002D2409" w:rsidP="001334FF">
      <w:pPr>
        <w:rPr>
          <w:rFonts w:cstheme="minorHAnsi"/>
          <w:b/>
          <w:bCs/>
          <w:i/>
          <w:iCs/>
          <w:color w:val="D20A10"/>
          <w:sz w:val="36"/>
          <w:szCs w:val="36"/>
          <w:lang w:val="en-US"/>
        </w:rPr>
      </w:pPr>
      <w:r>
        <w:rPr>
          <w:rFonts w:ascii="Calibri" w:hAnsi="Calibri" w:cs="Calibri"/>
          <w:b/>
          <w:bCs/>
          <w:i/>
          <w:iCs/>
          <w:color w:val="D20A10"/>
          <w:sz w:val="36"/>
          <w:szCs w:val="36"/>
          <w:lang w:val="fr-FR"/>
        </w:rPr>
        <w:t>Rencontre de la durabilité et du design</w:t>
      </w:r>
      <w:r>
        <w:rPr>
          <w:rFonts w:ascii="Calibri" w:hAnsi="Calibri" w:cs="Calibri"/>
          <w:b/>
          <w:bCs/>
          <w:i/>
          <w:iCs/>
          <w:color w:val="D20A10"/>
          <w:sz w:val="36"/>
          <w:szCs w:val="36"/>
          <w:lang w:val="fr-FR"/>
        </w:rPr>
        <w:br/>
      </w:r>
      <w:r>
        <w:rPr>
          <w:rFonts w:ascii="Calibri" w:hAnsi="Calibri" w:cs="Calibri"/>
          <w:sz w:val="28"/>
          <w:szCs w:val="28"/>
          <w:lang w:val="fr-FR"/>
        </w:rPr>
        <w:t>La société Richard Brink présente ses corniches « Nexum » et « Conar »</w:t>
      </w:r>
    </w:p>
    <w:p w14:paraId="5345A8EE" w14:textId="07C2C902" w:rsidR="00480B26" w:rsidRPr="003D0251" w:rsidRDefault="002D2409" w:rsidP="00CE41AC">
      <w:pPr>
        <w:spacing w:line="360" w:lineRule="auto"/>
        <w:ind w:right="-285"/>
        <w:rPr>
          <w:rFonts w:asciiTheme="minorHAnsi" w:hAnsiTheme="minorHAnsi" w:cstheme="minorHAnsi"/>
          <w:b/>
          <w:bCs/>
          <w:sz w:val="24"/>
          <w:szCs w:val="24"/>
          <w:lang w:val="en-US"/>
        </w:rPr>
      </w:pPr>
      <w:r>
        <w:rPr>
          <w:rFonts w:ascii="Calibri" w:hAnsi="Calibri" w:cs="Calibri"/>
          <w:bCs/>
          <w:sz w:val="24"/>
          <w:szCs w:val="24"/>
          <w:lang w:val="fr-FR"/>
        </w:rPr>
        <w:br/>
        <w:t>Schloß Holte-Stukenbrock, le 14.10.2025</w:t>
      </w:r>
      <w:r>
        <w:rPr>
          <w:rFonts w:ascii="Calibri" w:hAnsi="Calibri" w:cs="Calibri"/>
          <w:b/>
          <w:bCs/>
          <w:sz w:val="24"/>
          <w:szCs w:val="24"/>
          <w:lang w:val="fr-FR"/>
        </w:rPr>
        <w:br/>
        <w:t>Que ses rives soient planes ou se terminent par un acrotère, une toiture plate a toujours besoin d’un recouvrement adéquat au niveau de ses bordures afin de protéger le bâti des infiltrations d’eau à la jonction avec les murs et le long de la façade. Depuis un certain temps déjà, la gamme de la société Richard Brink inclut le couvre-mur « Cavor » destiné aux acrotères. Le fabricant allemand y ajoute désormais les corniches « Nexum » et « Conar » développées tout spécialement pour les toitures-terrasses.</w:t>
      </w:r>
    </w:p>
    <w:p w14:paraId="326EA57A" w14:textId="79A9D878" w:rsidR="00480B26" w:rsidRPr="003D0251" w:rsidRDefault="002D2409" w:rsidP="00480B26">
      <w:pPr>
        <w:spacing w:line="360" w:lineRule="auto"/>
        <w:rPr>
          <w:rFonts w:asciiTheme="minorHAnsi" w:hAnsiTheme="minorHAnsi" w:cstheme="minorHAnsi"/>
          <w:sz w:val="24"/>
          <w:szCs w:val="24"/>
          <w:lang w:val="en-US"/>
        </w:rPr>
      </w:pPr>
      <w:r>
        <w:rPr>
          <w:rFonts w:ascii="Calibri" w:hAnsi="Calibri" w:cs="Calibri"/>
          <w:sz w:val="24"/>
          <w:szCs w:val="24"/>
          <w:lang w:val="fr-FR"/>
        </w:rPr>
        <w:t>Lors de la construction ou de la rénovation d’une toiture plate, la protection des rives joue un rôle décisif pour protéger les transitions et la façade de l’humidité. Richard Brink complète aujourd’hui sa gamme de solutions pour les toits et les murs avec les nouvelles corniches « Nexum » et « Conar » qui assurent justement une telle protection le long des toitures plates de manière durable et esthétique.</w:t>
      </w:r>
    </w:p>
    <w:p w14:paraId="59CF0C31" w14:textId="77777777" w:rsidR="007B6F94" w:rsidRPr="003D0251" w:rsidRDefault="002D2409" w:rsidP="007B6F94">
      <w:pPr>
        <w:spacing w:line="360" w:lineRule="auto"/>
        <w:rPr>
          <w:rFonts w:asciiTheme="minorHAnsi" w:hAnsiTheme="minorHAnsi" w:cstheme="minorHAnsi"/>
          <w:b/>
          <w:color w:val="D20A10"/>
          <w:sz w:val="24"/>
          <w:szCs w:val="24"/>
          <w:lang w:val="en-US"/>
        </w:rPr>
      </w:pPr>
      <w:r>
        <w:rPr>
          <w:rFonts w:ascii="Calibri" w:hAnsi="Calibri" w:cs="Calibri"/>
          <w:b/>
          <w:bCs/>
          <w:color w:val="D20A10"/>
          <w:sz w:val="24"/>
          <w:szCs w:val="24"/>
          <w:lang w:val="fr-FR"/>
        </w:rPr>
        <w:t>Une structure d’aujourd’hui qui pense à demain</w:t>
      </w:r>
    </w:p>
    <w:p w14:paraId="77138997" w14:textId="524894A7" w:rsidR="00480B26" w:rsidRPr="003D0251" w:rsidRDefault="002D2409" w:rsidP="00480B26">
      <w:pPr>
        <w:spacing w:line="360" w:lineRule="auto"/>
        <w:rPr>
          <w:rFonts w:asciiTheme="minorHAnsi" w:hAnsiTheme="minorHAnsi" w:cstheme="minorHAnsi"/>
          <w:sz w:val="24"/>
          <w:szCs w:val="24"/>
          <w:lang w:val="en-US"/>
        </w:rPr>
      </w:pPr>
      <w:r>
        <w:rPr>
          <w:rFonts w:ascii="Calibri" w:hAnsi="Calibri" w:cs="Calibri"/>
          <w:sz w:val="24"/>
          <w:szCs w:val="24"/>
          <w:lang w:val="fr-FR"/>
        </w:rPr>
        <w:t xml:space="preserve">Ces deux nouveautés s’intègrent dans une économie circulaire durable. Elles ont, en effet, été développées de manière à se démonter entièrement et à permettre la réutilisation de leurs matériaux. Les profilés en aluminium d’une longueur standard de 3000 mm résistent, par ailleurs, à la charge du vent et sont étanches à l’eau. Ces systèmes ont été conçus pour des lés d’étanchéité d’une épaisseur de jusqu’à 5 mm ou des membranes bitumeuses se chevauchant sur deux couches pour une épaisseur totale maximale de 10 mm. Leur hauteur varie entre 100 mm et 200 mm, et un revêtement est proposé dans toutes les couleurs du nuancier RAL. Le fabricant allemand spécialisé </w:t>
      </w:r>
      <w:r>
        <w:rPr>
          <w:rFonts w:ascii="Calibri" w:hAnsi="Calibri" w:cs="Calibri"/>
          <w:sz w:val="24"/>
          <w:szCs w:val="24"/>
          <w:lang w:val="fr-FR"/>
        </w:rPr>
        <w:lastRenderedPageBreak/>
        <w:t>dans les articles métalliques fournit les deux modèles sous forme de kit complet prêt à être monté et incluant des angles, des embouts et des connecteurs.</w:t>
      </w:r>
    </w:p>
    <w:p w14:paraId="67B48333" w14:textId="54430B19" w:rsidR="009C39AC" w:rsidRDefault="002D2409" w:rsidP="00480B26">
      <w:pPr>
        <w:spacing w:line="360" w:lineRule="auto"/>
        <w:rPr>
          <w:rFonts w:asciiTheme="minorHAnsi" w:hAnsiTheme="minorHAnsi" w:cstheme="minorHAnsi"/>
          <w:sz w:val="24"/>
          <w:szCs w:val="24"/>
        </w:rPr>
      </w:pPr>
      <w:r>
        <w:rPr>
          <w:rFonts w:ascii="Calibri" w:hAnsi="Calibri" w:cs="Calibri"/>
          <w:b/>
          <w:bCs/>
          <w:color w:val="D20A10"/>
          <w:sz w:val="24"/>
          <w:szCs w:val="24"/>
          <w:lang w:val="fr-FR"/>
        </w:rPr>
        <w:t>Description de « Nexum »</w:t>
      </w:r>
    </w:p>
    <w:p w14:paraId="59DB889F" w14:textId="38FBC421" w:rsidR="009C39AC" w:rsidRDefault="002D2409" w:rsidP="00480B26">
      <w:pPr>
        <w:spacing w:line="360" w:lineRule="auto"/>
        <w:rPr>
          <w:rFonts w:asciiTheme="minorHAnsi" w:hAnsiTheme="minorHAnsi" w:cstheme="minorHAnsi"/>
          <w:sz w:val="24"/>
          <w:szCs w:val="24"/>
        </w:rPr>
      </w:pPr>
      <w:r>
        <w:rPr>
          <w:rFonts w:ascii="Calibri" w:hAnsi="Calibri" w:cs="Calibri"/>
          <w:sz w:val="24"/>
          <w:szCs w:val="24"/>
          <w:lang w:val="fr-FR"/>
        </w:rPr>
        <w:t>En trois parties, « Nexum » se compose d’un profilé de base en aluminium, de profilés interchangeables en plastique ABS pour la fixation mécanique des membranes bitumeuses ou des lés d’étanchéité, ainsi que de bavettes décoratives emboîtables en aluminium et à joints en caoutchouc. Le profilé de base est vissé directement sur la rive du toit, puis l’étanchéité est posée sur le profilé de serrage. Une fois emboîtées sur le profilé de base, les bavettes plaquent l’étanchéité contre le profilé de serrage en plastique et la maintien</w:t>
      </w:r>
      <w:r w:rsidR="008454E9">
        <w:rPr>
          <w:rFonts w:ascii="Calibri" w:hAnsi="Calibri" w:cs="Calibri"/>
          <w:sz w:val="24"/>
          <w:szCs w:val="24"/>
          <w:lang w:val="fr-FR"/>
        </w:rPr>
        <w:t>nen</w:t>
      </w:r>
      <w:r>
        <w:rPr>
          <w:rFonts w:ascii="Calibri" w:hAnsi="Calibri" w:cs="Calibri"/>
          <w:sz w:val="24"/>
          <w:szCs w:val="24"/>
          <w:lang w:val="fr-FR"/>
        </w:rPr>
        <w:t xml:space="preserve">t en place de manière sûre et durable. </w:t>
      </w:r>
    </w:p>
    <w:p w14:paraId="04B6466B" w14:textId="7F4FCA75" w:rsidR="009C39AC" w:rsidRDefault="002D2409" w:rsidP="00480B26">
      <w:pPr>
        <w:spacing w:line="360" w:lineRule="auto"/>
        <w:rPr>
          <w:rFonts w:asciiTheme="minorHAnsi" w:hAnsiTheme="minorHAnsi" w:cstheme="minorHAnsi"/>
          <w:sz w:val="24"/>
          <w:szCs w:val="24"/>
        </w:rPr>
      </w:pPr>
      <w:r>
        <w:rPr>
          <w:rFonts w:ascii="Calibri" w:hAnsi="Calibri" w:cs="Calibri"/>
          <w:b/>
          <w:bCs/>
          <w:color w:val="D20A10"/>
          <w:sz w:val="24"/>
          <w:szCs w:val="24"/>
          <w:lang w:val="fr-FR"/>
        </w:rPr>
        <w:t>Description de « Conar »</w:t>
      </w:r>
    </w:p>
    <w:p w14:paraId="4392653C" w14:textId="56152842" w:rsidR="00667A17" w:rsidRPr="00480B26" w:rsidRDefault="002D2409" w:rsidP="00480B26">
      <w:pPr>
        <w:spacing w:line="360" w:lineRule="auto"/>
        <w:rPr>
          <w:rFonts w:asciiTheme="minorHAnsi" w:hAnsiTheme="minorHAnsi" w:cstheme="minorHAnsi"/>
          <w:sz w:val="24"/>
          <w:szCs w:val="24"/>
        </w:rPr>
      </w:pPr>
      <w:r>
        <w:rPr>
          <w:rFonts w:ascii="Calibri" w:hAnsi="Calibri" w:cs="Calibri"/>
          <w:sz w:val="24"/>
          <w:szCs w:val="24"/>
          <w:lang w:val="fr-FR"/>
        </w:rPr>
        <w:t>Sur le modèle « Conar » en deux parties, le profilé de base et la bavette décorative sont réunis en un même élément également fixé à la rive du toit. Les membranes bitumeuses ou les lés d’étanchéité sont maintenus ici à l’aide d’un profilé de serrage supplémentaire en aluminium.</w:t>
      </w:r>
    </w:p>
    <w:p w14:paraId="6242808B" w14:textId="6B81426D" w:rsidR="00480B26" w:rsidRPr="003D0251" w:rsidRDefault="002D2409" w:rsidP="00480B26">
      <w:pPr>
        <w:spacing w:line="360" w:lineRule="auto"/>
        <w:rPr>
          <w:rFonts w:asciiTheme="minorHAnsi" w:hAnsiTheme="minorHAnsi" w:cstheme="minorHAnsi"/>
          <w:sz w:val="24"/>
          <w:szCs w:val="24"/>
          <w:lang w:val="en-US"/>
        </w:rPr>
      </w:pPr>
      <w:r>
        <w:rPr>
          <w:rFonts w:ascii="Calibri" w:hAnsi="Calibri" w:cs="Calibri"/>
          <w:sz w:val="24"/>
          <w:szCs w:val="24"/>
          <w:lang w:val="fr-FR"/>
        </w:rPr>
        <w:t>En élargissant sa gamme pour acrotères et rives de toit, Richard Brink offre à ses clients encore plus de flexibilité pour aménager les toitures. L’éventail d’options permet à ces nouvelles corniches de s’adapter à tous les contextes et de répondre à tous les besoins.</w:t>
      </w:r>
    </w:p>
    <w:p w14:paraId="1A6068E3" w14:textId="57BA8280" w:rsidR="001A053B" w:rsidRPr="003D0251" w:rsidRDefault="002D2409" w:rsidP="005B1417">
      <w:pPr>
        <w:spacing w:line="360" w:lineRule="auto"/>
        <w:rPr>
          <w:rFonts w:asciiTheme="minorHAnsi" w:hAnsiTheme="minorHAnsi" w:cstheme="minorHAnsi"/>
          <w:color w:val="000000" w:themeColor="text1"/>
          <w:sz w:val="24"/>
          <w:szCs w:val="24"/>
          <w:lang w:val="en-US"/>
        </w:rPr>
      </w:pPr>
      <w:r>
        <w:rPr>
          <w:rFonts w:ascii="Calibri" w:hAnsi="Calibri" w:cs="Calibri"/>
          <w:b/>
          <w:bCs/>
          <w:color w:val="000000"/>
          <w:sz w:val="24"/>
          <w:szCs w:val="24"/>
          <w:lang w:val="fr-FR"/>
        </w:rPr>
        <w:t>(env. 31</w:t>
      </w:r>
      <w:r w:rsidR="003D0251">
        <w:rPr>
          <w:rFonts w:ascii="Calibri" w:hAnsi="Calibri" w:cs="Calibri"/>
          <w:b/>
          <w:bCs/>
          <w:color w:val="000000"/>
          <w:sz w:val="24"/>
          <w:szCs w:val="24"/>
          <w:lang w:val="fr-FR"/>
        </w:rPr>
        <w:t>1</w:t>
      </w:r>
      <w:r>
        <w:rPr>
          <w:rFonts w:ascii="Calibri" w:hAnsi="Calibri" w:cs="Calibri"/>
          <w:b/>
          <w:bCs/>
          <w:color w:val="000000"/>
          <w:sz w:val="24"/>
          <w:szCs w:val="24"/>
          <w:lang w:val="fr-FR"/>
        </w:rPr>
        <w:t>0 caractères)</w:t>
      </w:r>
    </w:p>
    <w:p w14:paraId="7FA494EB" w14:textId="77777777" w:rsidR="0078299E" w:rsidRPr="003D0251" w:rsidRDefault="0078299E" w:rsidP="004B5AD1">
      <w:pPr>
        <w:spacing w:after="0" w:line="240" w:lineRule="auto"/>
        <w:rPr>
          <w:rFonts w:asciiTheme="minorHAnsi" w:hAnsiTheme="minorHAnsi" w:cstheme="minorHAnsi"/>
          <w:sz w:val="18"/>
          <w:lang w:val="en-US"/>
        </w:rPr>
      </w:pPr>
    </w:p>
    <w:p w14:paraId="67F1EE02" w14:textId="77777777" w:rsidR="002B476C" w:rsidRPr="003D0251" w:rsidRDefault="002B476C" w:rsidP="007651F2">
      <w:pPr>
        <w:spacing w:after="0" w:line="240" w:lineRule="auto"/>
        <w:rPr>
          <w:rFonts w:asciiTheme="minorHAnsi" w:hAnsiTheme="minorHAnsi" w:cstheme="minorHAnsi"/>
          <w:sz w:val="18"/>
          <w:lang w:val="en-US"/>
        </w:rPr>
      </w:pPr>
    </w:p>
    <w:p w14:paraId="4744BF7B" w14:textId="77777777" w:rsidR="00214F64" w:rsidRPr="003D0251" w:rsidRDefault="00214F64" w:rsidP="007651F2">
      <w:pPr>
        <w:spacing w:after="0" w:line="240" w:lineRule="auto"/>
        <w:rPr>
          <w:rFonts w:asciiTheme="minorHAnsi" w:hAnsiTheme="minorHAnsi" w:cstheme="minorHAnsi"/>
          <w:sz w:val="18"/>
          <w:lang w:val="en-US"/>
        </w:rPr>
      </w:pPr>
    </w:p>
    <w:p w14:paraId="53A648C5" w14:textId="77777777" w:rsidR="007651F2" w:rsidRPr="003D0251" w:rsidRDefault="002D2409"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45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2D4290EC" w14:textId="77777777" w:rsidR="007651F2" w:rsidRPr="003D0251" w:rsidRDefault="007651F2" w:rsidP="007651F2">
      <w:pPr>
        <w:spacing w:after="0" w:line="240" w:lineRule="auto"/>
        <w:rPr>
          <w:rFonts w:asciiTheme="minorHAnsi" w:hAnsiTheme="minorHAnsi" w:cstheme="minorHAnsi"/>
          <w:sz w:val="18"/>
          <w:lang w:val="en-US"/>
        </w:rPr>
      </w:pPr>
    </w:p>
    <w:p w14:paraId="6DBE8207" w14:textId="77777777" w:rsidR="007651F2" w:rsidRPr="003D0251" w:rsidRDefault="002D2409" w:rsidP="007651F2">
      <w:pPr>
        <w:spacing w:after="0" w:line="240" w:lineRule="auto"/>
        <w:rPr>
          <w:rFonts w:asciiTheme="minorHAnsi" w:hAnsiTheme="minorHAnsi" w:cstheme="minorHAnsi"/>
          <w:sz w:val="18"/>
          <w:lang w:val="en-US"/>
        </w:rPr>
      </w:pPr>
      <w:r>
        <w:rPr>
          <w:rFonts w:ascii="Calibri" w:hAnsi="Calibri" w:cs="Calibri"/>
          <w:sz w:val="18"/>
          <w:szCs w:val="18"/>
          <w:lang w:val="fr-FR"/>
        </w:rPr>
        <w:lastRenderedPageBreak/>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7651F2">
          <w:rPr>
            <w:rFonts w:ascii="Calibri" w:hAnsi="Calibri" w:cs="Calibri"/>
            <w:b/>
            <w:bCs/>
            <w:color w:val="D22624"/>
            <w:sz w:val="18"/>
            <w:szCs w:val="18"/>
            <w:u w:val="single"/>
            <w:lang w:val="fr-FR"/>
          </w:rPr>
          <w:t>www.richard-brink.de</w:t>
        </w:r>
      </w:hyperlink>
      <w:r>
        <w:rPr>
          <w:rFonts w:ascii="Calibri" w:hAnsi="Calibri" w:cs="Calibri"/>
          <w:sz w:val="18"/>
          <w:szCs w:val="18"/>
          <w:lang w:val="fr-FR"/>
        </w:rPr>
        <w:t>.</w:t>
      </w:r>
    </w:p>
    <w:p w14:paraId="408F2DA5" w14:textId="77777777" w:rsidR="007651F2" w:rsidRPr="003D0251" w:rsidRDefault="007651F2" w:rsidP="007651F2">
      <w:pPr>
        <w:spacing w:after="0" w:line="240" w:lineRule="auto"/>
        <w:rPr>
          <w:rFonts w:asciiTheme="minorHAnsi" w:hAnsiTheme="minorHAnsi" w:cstheme="minorHAnsi"/>
          <w:sz w:val="18"/>
          <w:lang w:val="en-US"/>
        </w:rPr>
      </w:pPr>
    </w:p>
    <w:p w14:paraId="4FD6EA62" w14:textId="77777777" w:rsidR="007651F2" w:rsidRPr="003D0251" w:rsidRDefault="002D2409" w:rsidP="007651F2">
      <w:pPr>
        <w:spacing w:line="240" w:lineRule="auto"/>
        <w:rPr>
          <w:rFonts w:asciiTheme="minorHAnsi" w:hAnsiTheme="minorHAnsi" w:cstheme="minorHAnsi"/>
          <w:bCs/>
          <w:sz w:val="18"/>
          <w:szCs w:val="18"/>
          <w:lang w:val="en-US"/>
        </w:rPr>
      </w:pPr>
      <w:r>
        <w:rPr>
          <w:rFonts w:ascii="Calibri" w:hAnsi="Calibri" w:cs="Calibri"/>
          <w:sz w:val="18"/>
          <w:szCs w:val="18"/>
          <w:lang w:val="fr-FR"/>
        </w:rPr>
        <w:t>L’activité de la société sœur Brink Systembau s’articule principalement autour des aménagements de stands pour foires et expositions. Elle distribue, entre autres, des systèmes modulaires fabriqués par Richard Brink. À cela s’ajoutent d’autres produits tels que des parois lumineuses à rétroéclairage LED ou des boîtes de réception de colis pour particuliers et entreprises.</w:t>
      </w:r>
    </w:p>
    <w:p w14:paraId="02EA8A78" w14:textId="77777777" w:rsidR="007E6042" w:rsidRPr="003D0251" w:rsidRDefault="007E6042" w:rsidP="007651F2">
      <w:pPr>
        <w:spacing w:after="0" w:line="240" w:lineRule="auto"/>
        <w:rPr>
          <w:rFonts w:asciiTheme="minorHAnsi" w:hAnsiTheme="minorHAnsi" w:cstheme="minorHAnsi"/>
          <w:sz w:val="18"/>
          <w:lang w:val="en-US"/>
        </w:rPr>
      </w:pPr>
    </w:p>
    <w:sectPr w:rsidR="007E6042" w:rsidRPr="003D0251"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727B" w14:textId="77777777" w:rsidR="00413FE3" w:rsidRDefault="00413FE3">
      <w:pPr>
        <w:spacing w:after="0" w:line="240" w:lineRule="auto"/>
      </w:pPr>
      <w:r>
        <w:separator/>
      </w:r>
    </w:p>
  </w:endnote>
  <w:endnote w:type="continuationSeparator" w:id="0">
    <w:p w14:paraId="56990992" w14:textId="77777777" w:rsidR="00413FE3" w:rsidRDefault="0041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2D2409">
    <w:pPr>
      <w:pStyle w:val="Fuzeile"/>
      <w:jc w:val="center"/>
    </w:pPr>
    <w:r>
      <w:rPr>
        <w:noProof/>
        <w:lang w:eastAsia="de-DE"/>
      </w:rPr>
      <mc:AlternateContent>
        <mc:Choice Requires="wps">
          <w:drawing>
            <wp:anchor distT="0" distB="0" distL="114300" distR="114300" simplePos="0" relativeHeight="251659264" behindDoc="0" locked="0" layoutInCell="1" allowOverlap="1" wp14:anchorId="4724458B" wp14:editId="558CBE23">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74FC1"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 xml:space="preserve">Éditeur : </w:t>
                          </w:r>
                        </w:p>
                        <w:p w14:paraId="5F3B750E" w14:textId="77777777" w:rsidR="007651F2" w:rsidRPr="00FD2C26" w:rsidRDefault="002D2409"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Richard Brink GmbH &amp; Co. KG</w:t>
                          </w:r>
                        </w:p>
                        <w:p w14:paraId="0706810B"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Görlitzer Straße 1</w:t>
                          </w:r>
                        </w:p>
                        <w:p w14:paraId="1F912624"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33758 Schloß Holte-Stukenbrock, Allemagne</w:t>
                          </w:r>
                        </w:p>
                        <w:p w14:paraId="1E70EDD3"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6D607AB6"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295087C3"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www.richard-brink.de</w:t>
                          </w:r>
                        </w:p>
                        <w:p w14:paraId="11751032" w14:textId="77777777" w:rsidR="007651F2" w:rsidRPr="00FD2C26" w:rsidRDefault="002D2409"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Courriel : stefan.brink@richard-brink.de</w:t>
                          </w:r>
                        </w:p>
                        <w:p w14:paraId="52FB0529" w14:textId="77777777" w:rsidR="007651F2" w:rsidRPr="00FD2C26" w:rsidRDefault="007651F2" w:rsidP="007651F2">
                          <w:pPr>
                            <w:spacing w:after="0" w:line="240" w:lineRule="auto"/>
                            <w:rPr>
                              <w:rFonts w:asciiTheme="minorHAnsi" w:hAnsiTheme="minorHAnsi" w:cstheme="minorHAnsi"/>
                              <w:color w:val="808080"/>
                              <w:sz w:val="14"/>
                            </w:rPr>
                          </w:pPr>
                        </w:p>
                        <w:p w14:paraId="0301DC2D" w14:textId="77777777" w:rsidR="007651F2" w:rsidRPr="00FD2C26" w:rsidRDefault="002D2409"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79685B7F" w14:textId="77777777" w:rsidR="007651F2" w:rsidRPr="00FD2C26" w:rsidRDefault="002D2409"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38B1D56" w14:textId="77777777" w:rsidR="007651F2" w:rsidRPr="00FD2C26" w:rsidRDefault="002D2409"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7AF142EE" w14:textId="77777777" w:rsidR="007651F2" w:rsidRPr="00FD2C26" w:rsidRDefault="002D2409"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4A1AABC"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191FB4F5" w14:textId="77777777" w:rsidR="007651F2" w:rsidRPr="00FD2C26" w:rsidRDefault="002D2409" w:rsidP="007651F2">
                          <w:pPr>
                            <w:pStyle w:val="berschrift3"/>
                            <w:tabs>
                              <w:tab w:val="left" w:pos="567"/>
                            </w:tabs>
                            <w:rPr>
                              <w:rFonts w:asciiTheme="minorHAnsi" w:hAnsiTheme="minorHAnsi" w:cstheme="minorHAnsi"/>
                              <w:color w:val="808080"/>
                              <w:sz w:val="14"/>
                              <w:szCs w:val="14"/>
                            </w:rPr>
                          </w:pPr>
                          <w:r>
                            <w:rPr>
                              <w:rFonts w:ascii="Calibri" w:eastAsia="Calibri" w:hAnsi="Calibri" w:cs="Calibri"/>
                              <w:color w:val="808080"/>
                              <w:sz w:val="14"/>
                              <w:szCs w:val="14"/>
                              <w:lang w:val="fr-FR"/>
                            </w:rPr>
                            <w:t>Impression libre – merci de transmettre une copie</w:t>
                          </w:r>
                        </w:p>
                        <w:p w14:paraId="706DD97E"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 Box 1" o:spid="_x0000_s2050" type="#_x0000_t202" style="width:126pt;height:224.25pt;margin-top:-193.15pt;margin-left:392.2pt;mso-height-percent:0;mso-height-relative:page;mso-width-percent:0;mso-width-relative:page;mso-wrap-distance-bottom:0;mso-wrap-distance-left:9pt;mso-wrap-distance-right:9pt;mso-wrap-distance-top:0;position:absolute;v-text-anchor:top;z-index:251658240" filled="f" fillcolor="this" stroked="f">
              <v:textbox>
                <w:txbxContent>
                  <w:p w:rsidR="007651F2" w:rsidRPr="00FD2C26" w:rsidP="007651F2" w14:paraId="4EA41B59"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Éditeur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 xml:space="preserve"> </w:t>
                    </w:r>
                  </w:p>
                  <w:p w:rsidR="007651F2" w:rsidRPr="00FD2C26" w:rsidP="007651F2" w14:paraId="08B9F369" w14:textId="77777777">
                    <w:pPr>
                      <w:pStyle w:val="Heading1"/>
                      <w:bidi w:val="0"/>
                      <w:spacing w:line="240" w:lineRule="auto"/>
                      <w:jc w:val="left"/>
                      <w:rPr>
                        <w:rFonts w:asciiTheme="minorHAnsi" w:hAnsiTheme="minorHAnsi" w:cstheme="minorHAnsi"/>
                        <w:color w:val="D20A10"/>
                        <w:sz w:val="1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D20A1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Richard Brink GmbH &amp; Co. KG</w:t>
                    </w:r>
                  </w:p>
                  <w:p w:rsidR="007651F2" w:rsidRPr="00FD2C26" w:rsidP="007651F2" w14:paraId="60BBC0F5"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Görlitzer Straße 1</w:t>
                    </w:r>
                  </w:p>
                  <w:p w:rsidR="007651F2" w:rsidRPr="00FD2C26" w:rsidP="007651F2" w14:paraId="1DE67197"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33758 Schloß Holte-Stukenbrock, Allemagne</w:t>
                    </w:r>
                  </w:p>
                  <w:p w:rsidR="007651F2" w:rsidRPr="00FD2C26" w:rsidP="007651F2" w14:paraId="2CA067A0"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Téléphone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ab/>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+49 (0)5207 9504-0</w:t>
                    </w:r>
                  </w:p>
                  <w:p w:rsidR="007651F2" w:rsidRPr="00FD2C26" w:rsidP="007651F2" w14:paraId="20B440B1"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Fax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ab/>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+49 (0)5207 9504-20</w:t>
                    </w:r>
                  </w:p>
                  <w:p w:rsidR="007651F2" w:rsidRPr="00FD2C26" w:rsidP="007651F2" w14:paraId="3E22786E"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www.richard-brink.de</w:t>
                    </w:r>
                  </w:p>
                  <w:p w:rsidR="007651F2" w:rsidRPr="00FD2C26" w:rsidP="007651F2" w14:paraId="4B72DB4B" w14:textId="77777777">
                    <w:pPr>
                      <w:bidi w:val="0"/>
                      <w:spacing w:after="0" w:line="240" w:lineRule="auto"/>
                      <w:rPr>
                        <w:rFonts w:asciiTheme="minorHAnsi" w:hAnsiTheme="minorHAnsi" w:cstheme="minorHAnsi"/>
                        <w:color w:val="808080"/>
                        <w:sz w:val="1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Courriel : stefan.brink@richard-brink.de</w:t>
                    </w:r>
                  </w:p>
                  <w:p w:rsidR="007651F2" w:rsidRPr="00FD2C26" w:rsidP="007651F2" w14:paraId="1053A317" w14:textId="77777777">
                    <w:pPr>
                      <w:spacing w:after="0" w:line="240" w:lineRule="auto"/>
                      <w:rPr>
                        <w:rFonts w:asciiTheme="minorHAnsi" w:hAnsiTheme="minorHAnsi" w:cstheme="minorHAnsi"/>
                        <w:color w:val="808080"/>
                        <w:sz w:val="14"/>
                      </w:rPr>
                    </w:pPr>
                  </w:p>
                  <w:p w:rsidR="007651F2" w:rsidRPr="00FD2C26" w:rsidP="007651F2" w14:paraId="73A470D6" w14:textId="77777777">
                    <w:pPr>
                      <w:bidi w:val="0"/>
                      <w:spacing w:after="0" w:line="240" w:lineRule="auto"/>
                      <w:rPr>
                        <w:rFonts w:asciiTheme="minorHAnsi" w:hAnsiTheme="minorHAnsi" w:cstheme="minorHAnsi"/>
                        <w:b/>
                        <w:color w:val="D20A10"/>
                        <w:sz w:val="1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D20A1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Interlocuteur à la rédaction :</w:t>
                    </w:r>
                  </w:p>
                  <w:p w:rsidR="007651F2" w:rsidRPr="00FD2C26" w:rsidP="007651F2" w14:paraId="0689A686" w14:textId="77777777">
                    <w:pPr>
                      <w:pStyle w:val="BodyText"/>
                      <w:bidi w:val="0"/>
                      <w:rPr>
                        <w:rFonts w:asciiTheme="minorHAnsi" w:hAnsiTheme="minorHAnsi" w:cstheme="minorHAnsi"/>
                        <w:color w:val="808080"/>
                        <w:sz w:val="14"/>
                        <w:lang w:val="it-IT"/>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Daniel Spitzer</w:t>
                    </w:r>
                  </w:p>
                  <w:p w:rsidR="007651F2" w:rsidRPr="00FD2C26" w:rsidP="007651F2" w14:paraId="69C621FE" w14:textId="77777777">
                    <w:pPr>
                      <w:pStyle w:val="BodyText"/>
                      <w:bidi w:val="0"/>
                      <w:rPr>
                        <w:rFonts w:asciiTheme="minorHAnsi" w:hAnsiTheme="minorHAnsi" w:cstheme="minorHAnsi"/>
                        <w:color w:val="808080"/>
                        <w:sz w:val="14"/>
                        <w:lang w:val="it-IT"/>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Directeur adjoint au marketing</w:t>
                    </w:r>
                  </w:p>
                  <w:p w:rsidR="007651F2" w:rsidRPr="00FD2C26" w:rsidP="007651F2" w14:paraId="7112F9C4" w14:textId="77777777">
                    <w:pPr>
                      <w:pStyle w:val="BodyText"/>
                      <w:bidi w:val="0"/>
                      <w:rPr>
                        <w:rFonts w:asciiTheme="minorHAnsi" w:hAnsiTheme="minorHAnsi" w:cstheme="minorHAnsi"/>
                        <w:color w:val="808080"/>
                        <w:sz w:val="14"/>
                        <w:lang w:val="it-IT"/>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daniel.spitzer@richard-brink.de</w:t>
                    </w:r>
                  </w:p>
                  <w:p w:rsidR="007651F2" w:rsidRPr="00FD2C26" w:rsidP="007651F2" w14:paraId="0004D502" w14:textId="77777777">
                    <w:pPr>
                      <w:pStyle w:val="Heading3"/>
                      <w:tabs>
                        <w:tab w:val="left" w:pos="567"/>
                      </w:tabs>
                      <w:rPr>
                        <w:rFonts w:asciiTheme="minorHAnsi" w:hAnsiTheme="minorHAnsi" w:cstheme="minorHAnsi"/>
                        <w:color w:val="808080"/>
                        <w:sz w:val="14"/>
                        <w:szCs w:val="14"/>
                        <w:lang w:val="it-IT"/>
                      </w:rPr>
                    </w:pPr>
                  </w:p>
                  <w:p w:rsidR="007651F2" w:rsidRPr="00FD2C26" w:rsidP="007651F2" w14:paraId="546C6A7E" w14:textId="77777777">
                    <w:pPr>
                      <w:pStyle w:val="Heading3"/>
                      <w:tabs>
                        <w:tab w:val="left" w:pos="567"/>
                      </w:tabs>
                      <w:bidi w:val="0"/>
                      <w:rPr>
                        <w:rFonts w:asciiTheme="minorHAnsi" w:hAnsiTheme="minorHAnsi" w:cstheme="minorHAnsi"/>
                        <w:color w:val="808080"/>
                        <w:sz w:val="14"/>
                        <w:szCs w:val="1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Impression libre – merci de transmettre une copie</w:t>
                    </w:r>
                  </w:p>
                  <w:p w:rsidR="007651F2" w:rsidRPr="00FD2C26" w:rsidP="007651F2" w14:paraId="5E3E4987" w14:textId="77777777">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EFD0" w14:textId="77777777" w:rsidR="00413FE3" w:rsidRDefault="00413FE3">
      <w:pPr>
        <w:spacing w:after="0" w:line="240" w:lineRule="auto"/>
      </w:pPr>
      <w:r>
        <w:separator/>
      </w:r>
    </w:p>
  </w:footnote>
  <w:footnote w:type="continuationSeparator" w:id="0">
    <w:p w14:paraId="7B085EDA" w14:textId="77777777" w:rsidR="00413FE3" w:rsidRDefault="0041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2D2409">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4890A119" wp14:editId="6F811C36">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2D2409">
                          <w:r>
                            <w:rPr>
                              <w:noProof/>
                              <w:lang w:eastAsia="de-DE"/>
                            </w:rPr>
                            <w:drawing>
                              <wp:inline distT="0" distB="0" distL="0" distR="0" wp14:anchorId="136719FC" wp14:editId="755CA725">
                                <wp:extent cx="1146710" cy="1146710"/>
                                <wp:effectExtent l="0" t="0" r="0" b="0"/>
                                <wp:docPr id="4232012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01253"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774A57A8" w14:textId="08562F26">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16FBE55A" w14:textId="77777777" w:rsidR="00EE7ED8" w:rsidRPr="00FD2C26" w:rsidRDefault="002D2409"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Fiche produit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AEB"/>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7F2B"/>
    <w:rsid w:val="00197F90"/>
    <w:rsid w:val="001A053B"/>
    <w:rsid w:val="001A2779"/>
    <w:rsid w:val="001A2B8E"/>
    <w:rsid w:val="001A561C"/>
    <w:rsid w:val="001A64B3"/>
    <w:rsid w:val="001A64C5"/>
    <w:rsid w:val="001B0049"/>
    <w:rsid w:val="001B17EC"/>
    <w:rsid w:val="001B1B53"/>
    <w:rsid w:val="001B35B0"/>
    <w:rsid w:val="001B4341"/>
    <w:rsid w:val="001B444B"/>
    <w:rsid w:val="001B510A"/>
    <w:rsid w:val="001B6422"/>
    <w:rsid w:val="001B6FD6"/>
    <w:rsid w:val="001B7186"/>
    <w:rsid w:val="001B7A61"/>
    <w:rsid w:val="001C0ED4"/>
    <w:rsid w:val="001C1528"/>
    <w:rsid w:val="001C28EC"/>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409"/>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5D03"/>
    <w:rsid w:val="00326E79"/>
    <w:rsid w:val="00327872"/>
    <w:rsid w:val="00330AC7"/>
    <w:rsid w:val="0033208A"/>
    <w:rsid w:val="00332920"/>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39E6"/>
    <w:rsid w:val="00395F16"/>
    <w:rsid w:val="0039764F"/>
    <w:rsid w:val="003977B7"/>
    <w:rsid w:val="003A3250"/>
    <w:rsid w:val="003A345A"/>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72E"/>
    <w:rsid w:val="003C4B97"/>
    <w:rsid w:val="003C4C30"/>
    <w:rsid w:val="003C6773"/>
    <w:rsid w:val="003D0223"/>
    <w:rsid w:val="003D0251"/>
    <w:rsid w:val="003D0A86"/>
    <w:rsid w:val="003D0D3F"/>
    <w:rsid w:val="003D0DDA"/>
    <w:rsid w:val="003D2B9F"/>
    <w:rsid w:val="003D3552"/>
    <w:rsid w:val="003D3C81"/>
    <w:rsid w:val="003D3DF9"/>
    <w:rsid w:val="003D61FD"/>
    <w:rsid w:val="003D74AF"/>
    <w:rsid w:val="003D7FCD"/>
    <w:rsid w:val="003E0559"/>
    <w:rsid w:val="003E0F28"/>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3FE3"/>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695"/>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6F56"/>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931"/>
    <w:rsid w:val="0050241B"/>
    <w:rsid w:val="00503477"/>
    <w:rsid w:val="00504388"/>
    <w:rsid w:val="0050457F"/>
    <w:rsid w:val="00504846"/>
    <w:rsid w:val="0051238B"/>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3235"/>
    <w:rsid w:val="005440C7"/>
    <w:rsid w:val="00547418"/>
    <w:rsid w:val="00551058"/>
    <w:rsid w:val="005513AF"/>
    <w:rsid w:val="00552DC3"/>
    <w:rsid w:val="0055364D"/>
    <w:rsid w:val="00553ABC"/>
    <w:rsid w:val="00554212"/>
    <w:rsid w:val="00555CDE"/>
    <w:rsid w:val="00557254"/>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67A17"/>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4CD2"/>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DC"/>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54E9"/>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0591"/>
    <w:rsid w:val="008B1BA4"/>
    <w:rsid w:val="008B21A5"/>
    <w:rsid w:val="008B2DE8"/>
    <w:rsid w:val="008B36A5"/>
    <w:rsid w:val="008B519B"/>
    <w:rsid w:val="008B6071"/>
    <w:rsid w:val="008B6605"/>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09AF"/>
    <w:rsid w:val="009C39A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0493"/>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403"/>
    <w:rsid w:val="00D04A17"/>
    <w:rsid w:val="00D04B15"/>
    <w:rsid w:val="00D05577"/>
    <w:rsid w:val="00D05F4D"/>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1752"/>
    <w:rsid w:val="00DB3636"/>
    <w:rsid w:val="00DB3D15"/>
    <w:rsid w:val="00DB4D2F"/>
    <w:rsid w:val="00DB4EB2"/>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2B41"/>
    <w:rsid w:val="00E671B6"/>
    <w:rsid w:val="00E72327"/>
    <w:rsid w:val="00E73BCC"/>
    <w:rsid w:val="00E75FBC"/>
    <w:rsid w:val="00E80322"/>
    <w:rsid w:val="00E80BE9"/>
    <w:rsid w:val="00E80E66"/>
    <w:rsid w:val="00E8210B"/>
    <w:rsid w:val="00E823D3"/>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21D2"/>
    <w:rsid w:val="00F43640"/>
    <w:rsid w:val="00F44937"/>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7</cp:revision>
  <cp:lastPrinted>2025-10-09T14:37:00Z</cp:lastPrinted>
  <dcterms:created xsi:type="dcterms:W3CDTF">2025-10-09T14:37:00Z</dcterms:created>
  <dcterms:modified xsi:type="dcterms:W3CDTF">2025-10-21T12:16:00Z</dcterms:modified>
</cp:coreProperties>
</file>