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5D3" w:rsidRDefault="008245D3">
      <w:pPr>
        <w:rPr>
          <w:rFonts w:ascii="Calibri" w:hAnsi="Calibri" w:cs="Calibri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Tr="00D92B25">
        <w:trPr>
          <w:trHeight w:val="602"/>
        </w:trPr>
        <w:tc>
          <w:tcPr>
            <w:tcW w:w="2835" w:type="dxa"/>
          </w:tcPr>
          <w:p w:rsidR="0097530E" w:rsidRDefault="0097530E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</w:t>
            </w:r>
          </w:p>
        </w:tc>
        <w:tc>
          <w:tcPr>
            <w:tcW w:w="2977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Dateiname</w:t>
            </w:r>
          </w:p>
        </w:tc>
        <w:tc>
          <w:tcPr>
            <w:tcW w:w="3672" w:type="dxa"/>
          </w:tcPr>
          <w:p w:rsidR="0097530E" w:rsidRDefault="0097530E" w:rsidP="00106541">
            <w:pPr>
              <w:pStyle w:val="berschrift3"/>
              <w:rPr>
                <w:rFonts w:ascii="Calibri" w:hAnsi="Calibri" w:cs="Calibri"/>
                <w:color w:val="D20A10"/>
              </w:rPr>
            </w:pPr>
            <w:r>
              <w:rPr>
                <w:rFonts w:ascii="Calibri" w:hAnsi="Calibri" w:cs="Calibri"/>
                <w:color w:val="D20A10"/>
              </w:rPr>
              <w:t>Bildunterschrift</w:t>
            </w:r>
          </w:p>
        </w:tc>
      </w:tr>
      <w:tr w:rsidR="00A0347F" w:rsidTr="00D92B25">
        <w:trPr>
          <w:trHeight w:val="2821"/>
        </w:trPr>
        <w:tc>
          <w:tcPr>
            <w:tcW w:w="2835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76718CB" wp14:editId="092F005C">
                  <wp:extent cx="1524000" cy="1524000"/>
                  <wp:effectExtent l="0" t="0" r="0" b="0"/>
                  <wp:docPr id="20629108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370568" name="Grafik 24837056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RichardBrink_Atrium-2025_01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666388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P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A0347F">
              <w:rPr>
                <w:rFonts w:ascii="Calibri" w:hAnsi="Calibri" w:cs="Calibri"/>
                <w:color w:val="000000"/>
                <w:szCs w:val="22"/>
              </w:rPr>
              <w:t xml:space="preserve">Höchste Ansprüche </w:t>
            </w:r>
            <w:r>
              <w:rPr>
                <w:rFonts w:ascii="Calibri" w:hAnsi="Calibri" w:cs="Calibri"/>
                <w:color w:val="000000"/>
                <w:szCs w:val="22"/>
              </w:rPr>
              <w:t>bei der Umsetzung moderner Duschbereiche erfüllt die Firma Richard Brink mit ihrer Duschwanne „Atrium“.</w:t>
            </w:r>
          </w:p>
          <w:p w:rsidR="00A0347F" w:rsidRP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Tr="00D92B25">
        <w:trPr>
          <w:trHeight w:val="2821"/>
        </w:trPr>
        <w:tc>
          <w:tcPr>
            <w:tcW w:w="2835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18825403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54033" name="Grafik 118825403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2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P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A0347F">
              <w:rPr>
                <w:rFonts w:ascii="Calibri" w:hAnsi="Calibri" w:cs="Calibri"/>
                <w:color w:val="000000"/>
                <w:szCs w:val="22"/>
              </w:rPr>
              <w:t>Das Komplettsystem realisiert barriere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freie Duschen, die sich optisch mithilfe der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ausfliesbaren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Duschwanne </w:t>
            </w:r>
            <w:r w:rsidR="00D92B25">
              <w:rPr>
                <w:rFonts w:ascii="Calibri" w:hAnsi="Calibri" w:cs="Calibri"/>
                <w:color w:val="000000"/>
                <w:szCs w:val="22"/>
              </w:rPr>
              <w:t>flexibel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D92B25">
              <w:rPr>
                <w:rFonts w:ascii="Calibri" w:hAnsi="Calibri" w:cs="Calibri"/>
                <w:color w:val="000000"/>
                <w:szCs w:val="22"/>
              </w:rPr>
              <w:t>aus</w:t>
            </w:r>
            <w:r>
              <w:rPr>
                <w:rFonts w:ascii="Calibri" w:hAnsi="Calibri" w:cs="Calibri"/>
                <w:color w:val="000000"/>
                <w:szCs w:val="22"/>
              </w:rPr>
              <w:t>gestalten lassen.</w:t>
            </w:r>
          </w:p>
          <w:p w:rsidR="00A0347F" w:rsidRP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RPr="00A0347F" w:rsidTr="00D92B25">
        <w:trPr>
          <w:trHeight w:val="2821"/>
        </w:trPr>
        <w:tc>
          <w:tcPr>
            <w:tcW w:w="2835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09087747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77470" name="Grafik 10908774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3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A0347F">
              <w:rPr>
                <w:rFonts w:ascii="Calibri" w:hAnsi="Calibri" w:cs="Calibri"/>
                <w:color w:val="000000"/>
                <w:szCs w:val="22"/>
              </w:rPr>
              <w:t>Das Produkt setzt sich au</w:t>
            </w:r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Pr="00A0347F">
              <w:rPr>
                <w:rFonts w:ascii="Calibri" w:hAnsi="Calibri" w:cs="Calibri"/>
                <w:color w:val="000000"/>
                <w:szCs w:val="22"/>
              </w:rPr>
              <w:t xml:space="preserve"> einer Schallschutzmatte,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einem zweiteiligen XPS-Unterbau inklusive Siphon sowie einer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besandeten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Edelstahl</w:t>
            </w:r>
            <w:r w:rsidR="00DA2A67">
              <w:rPr>
                <w:rFonts w:ascii="Calibri" w:hAnsi="Calibri" w:cs="Calibri"/>
                <w:color w:val="000000"/>
                <w:szCs w:val="22"/>
              </w:rPr>
              <w:t>w</w:t>
            </w:r>
            <w:r>
              <w:rPr>
                <w:rFonts w:ascii="Calibri" w:hAnsi="Calibri" w:cs="Calibri"/>
                <w:color w:val="000000"/>
                <w:szCs w:val="22"/>
              </w:rPr>
              <w:t>anne mit passenden Abdichtungsbändern zusammen.</w:t>
            </w:r>
          </w:p>
          <w:p w:rsidR="00A0347F" w:rsidRPr="00DA2A67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DA2A67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RPr="00681459" w:rsidTr="00D92B25">
        <w:trPr>
          <w:trHeight w:val="2821"/>
        </w:trPr>
        <w:tc>
          <w:tcPr>
            <w:tcW w:w="2835" w:type="dxa"/>
          </w:tcPr>
          <w:p w:rsidR="00A0347F" w:rsidRP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219200"/>
                  <wp:effectExtent l="0" t="0" r="0" b="0"/>
                  <wp:docPr id="100889084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90844" name="Grafik 100889084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4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681459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681459" w:rsidP="0068145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Die Duschwanne ist umlaufend mit vorgefertigten Abkantungen für den Übergang zwischen Wanne und Boden bzw. Wand versehen</w:t>
            </w:r>
            <w:r w:rsidRPr="00681459"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681459" w:rsidRPr="00681459" w:rsidRDefault="00681459" w:rsidP="00681459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Tr="00D92B25">
        <w:trPr>
          <w:trHeight w:val="2821"/>
        </w:trPr>
        <w:tc>
          <w:tcPr>
            <w:tcW w:w="2835" w:type="dxa"/>
          </w:tcPr>
          <w:p w:rsidR="00A0347F" w:rsidRPr="00681459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143000"/>
                  <wp:effectExtent l="0" t="0" r="0" b="0"/>
                  <wp:docPr id="1805407038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407038" name="Grafik 180540703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5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681459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681459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681459">
              <w:rPr>
                <w:rFonts w:ascii="Calibri" w:hAnsi="Calibri" w:cs="Calibri"/>
                <w:color w:val="000000"/>
                <w:szCs w:val="22"/>
              </w:rPr>
              <w:t xml:space="preserve">Die Abdichtungsbänder gehören standardmäßig zum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Lieferumfang und werden auf Kundenwunsch bereits ab Werk </w:t>
            </w:r>
            <w:r w:rsidR="00DA2A67">
              <w:rPr>
                <w:rFonts w:ascii="Calibri" w:hAnsi="Calibri" w:cs="Calibri"/>
                <w:color w:val="000000"/>
                <w:szCs w:val="22"/>
              </w:rPr>
              <w:t>mit der Duschwanne verklebt.</w:t>
            </w:r>
          </w:p>
          <w:p w:rsidR="00681459" w:rsidRPr="00681459" w:rsidRDefault="00681459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Tr="00D92B25">
        <w:trPr>
          <w:trHeight w:val="2821"/>
        </w:trPr>
        <w:tc>
          <w:tcPr>
            <w:tcW w:w="2835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960252011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52011" name="Grafik 196025201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6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D92B25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D92B25">
              <w:rPr>
                <w:rFonts w:ascii="Calibri" w:hAnsi="Calibri" w:cs="Calibri"/>
                <w:color w:val="000000"/>
                <w:szCs w:val="22"/>
              </w:rPr>
              <w:t xml:space="preserve">Das System kann sowohl </w:t>
            </w:r>
            <w:r>
              <w:rPr>
                <w:rFonts w:ascii="Calibri" w:hAnsi="Calibri" w:cs="Calibri"/>
                <w:color w:val="000000"/>
                <w:szCs w:val="22"/>
              </w:rPr>
              <w:t>in eine Aussparung des Estrichs eingesetzt als auch vor der Verlegung des Estrichs am Boden platziert werden. Durch das Ausfliesen direkt bis zur Kante ergibt sich abschließend ein</w:t>
            </w:r>
            <w:r w:rsidR="00DA2A67">
              <w:rPr>
                <w:rFonts w:ascii="Calibri" w:hAnsi="Calibri" w:cs="Calibri"/>
                <w:color w:val="000000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fast nahtlose</w:t>
            </w:r>
            <w:r w:rsidR="00DA2A67">
              <w:rPr>
                <w:rFonts w:ascii="Calibri" w:hAnsi="Calibri" w:cs="Calibri"/>
                <w:color w:val="000000"/>
                <w:szCs w:val="22"/>
              </w:rPr>
              <w:t xml:space="preserve"> Optik</w:t>
            </w:r>
            <w:r>
              <w:rPr>
                <w:rFonts w:ascii="Calibri" w:hAnsi="Calibri" w:cs="Calibri"/>
                <w:color w:val="000000"/>
                <w:szCs w:val="22"/>
              </w:rPr>
              <w:t>.</w:t>
            </w:r>
          </w:p>
          <w:p w:rsidR="00D92B25" w:rsidRPr="00D92B25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Pr="00D92B25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proofErr w:type="spellStart"/>
            <w:r w:rsidRPr="00D92B25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D92B25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 w:rsidRPr="00D92B25">
              <w:rPr>
                <w:rFonts w:ascii="Calibri" w:hAnsi="Calibri" w:cs="Calibri"/>
                <w:color w:val="7F7F7F"/>
                <w:sz w:val="20"/>
              </w:rPr>
              <w:t>KG</w:t>
            </w:r>
          </w:p>
          <w:p w:rsidR="00A0347F" w:rsidRPr="00D92B25" w:rsidRDefault="00A0347F" w:rsidP="009F6553">
            <w:pPr>
              <w:rPr>
                <w:rFonts w:ascii="Calibri" w:hAnsi="Calibri" w:cs="Calibri"/>
              </w:rPr>
            </w:pPr>
          </w:p>
          <w:p w:rsidR="00A0347F" w:rsidRPr="00D92B25" w:rsidRDefault="00A0347F" w:rsidP="009F6553">
            <w:pPr>
              <w:rPr>
                <w:rFonts w:ascii="Calibri" w:hAnsi="Calibri" w:cs="Calibri"/>
              </w:rPr>
            </w:pPr>
          </w:p>
        </w:tc>
      </w:tr>
      <w:tr w:rsidR="00A0347F" w:rsidRPr="00D92B25" w:rsidTr="00D92B25">
        <w:trPr>
          <w:trHeight w:val="2821"/>
        </w:trPr>
        <w:tc>
          <w:tcPr>
            <w:tcW w:w="2835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14570714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07148" name="Grafik 114570714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7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D92B25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D92B25">
              <w:rPr>
                <w:rFonts w:ascii="Calibri" w:hAnsi="Calibri" w:cs="Calibri"/>
                <w:color w:val="000000"/>
                <w:szCs w:val="22"/>
              </w:rPr>
              <w:t xml:space="preserve">Auch im Wandbereich ist mithilfe der </w:t>
            </w:r>
            <w:proofErr w:type="spellStart"/>
            <w:r w:rsidRPr="00D92B25">
              <w:rPr>
                <w:rFonts w:ascii="Calibri" w:hAnsi="Calibri" w:cs="Calibri"/>
                <w:color w:val="000000"/>
                <w:szCs w:val="22"/>
              </w:rPr>
              <w:t>Umkantung</w:t>
            </w:r>
            <w:r w:rsidR="00DA2A67">
              <w:rPr>
                <w:rFonts w:ascii="Calibri" w:hAnsi="Calibri" w:cs="Calibri"/>
                <w:color w:val="000000"/>
                <w:szCs w:val="22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sowie der Dichtbänder für einen wasserdichten Übergang gesorgt.</w:t>
            </w:r>
          </w:p>
          <w:p w:rsidR="00D92B25" w:rsidRPr="00D92B25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RPr="00D92B25" w:rsidTr="00D92B25">
        <w:trPr>
          <w:trHeight w:val="2821"/>
        </w:trPr>
        <w:tc>
          <w:tcPr>
            <w:tcW w:w="2835" w:type="dxa"/>
          </w:tcPr>
          <w:p w:rsidR="00A0347F" w:rsidRPr="00D92B2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850900"/>
                  <wp:effectExtent l="0" t="0" r="0" b="0"/>
                  <wp:docPr id="1183776175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76175" name="Grafik 118377617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8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D92B25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D92B25">
              <w:rPr>
                <w:rFonts w:ascii="Calibri" w:hAnsi="Calibri" w:cs="Calibri"/>
                <w:color w:val="000000"/>
                <w:szCs w:val="22"/>
              </w:rPr>
              <w:t>Die Edelstahl</w:t>
            </w:r>
            <w:r w:rsidR="00DA2A67">
              <w:rPr>
                <w:rFonts w:ascii="Calibri" w:hAnsi="Calibri" w:cs="Calibri"/>
                <w:color w:val="000000"/>
                <w:szCs w:val="22"/>
              </w:rPr>
              <w:t>w</w:t>
            </w:r>
            <w:r w:rsidRPr="00D92B25">
              <w:rPr>
                <w:rFonts w:ascii="Calibri" w:hAnsi="Calibri" w:cs="Calibri"/>
                <w:color w:val="000000"/>
                <w:szCs w:val="22"/>
              </w:rPr>
              <w:t xml:space="preserve">anne der </w:t>
            </w:r>
            <w:r>
              <w:rPr>
                <w:rFonts w:ascii="Calibri" w:hAnsi="Calibri" w:cs="Calibri"/>
                <w:color w:val="000000"/>
                <w:szCs w:val="22"/>
              </w:rPr>
              <w:t>„</w:t>
            </w:r>
            <w:r w:rsidRPr="00D92B25">
              <w:rPr>
                <w:rFonts w:ascii="Calibri" w:hAnsi="Calibri" w:cs="Calibri"/>
                <w:color w:val="000000"/>
                <w:szCs w:val="22"/>
              </w:rPr>
              <w:t>A</w:t>
            </w:r>
            <w:r>
              <w:rPr>
                <w:rFonts w:ascii="Calibri" w:hAnsi="Calibri" w:cs="Calibri"/>
                <w:color w:val="000000"/>
                <w:szCs w:val="22"/>
              </w:rPr>
              <w:t>trium“ ist immer mit einem Gefälle ausgestatte</w:t>
            </w:r>
            <w:r w:rsidR="00666388">
              <w:rPr>
                <w:rFonts w:ascii="Calibri" w:hAnsi="Calibri" w:cs="Calibri"/>
                <w:color w:val="000000"/>
                <w:szCs w:val="22"/>
              </w:rPr>
              <w:t>t</w:t>
            </w:r>
            <w:r>
              <w:rPr>
                <w:rFonts w:ascii="Calibri" w:hAnsi="Calibri" w:cs="Calibri"/>
                <w:color w:val="000000"/>
                <w:szCs w:val="22"/>
              </w:rPr>
              <w:t>, sodass ein solches nicht gesondert hergestellt werden muss.</w:t>
            </w:r>
          </w:p>
          <w:p w:rsidR="00D92B25" w:rsidRPr="00D92B25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lang w:val="en-US"/>
              </w:rPr>
            </w:pPr>
          </w:p>
        </w:tc>
      </w:tr>
      <w:tr w:rsidR="00A0347F" w:rsidTr="00D92B25">
        <w:trPr>
          <w:trHeight w:val="2821"/>
        </w:trPr>
        <w:tc>
          <w:tcPr>
            <w:tcW w:w="2835" w:type="dxa"/>
          </w:tcPr>
          <w:p w:rsidR="00A0347F" w:rsidRPr="00D92B25" w:rsidRDefault="00A0347F" w:rsidP="009F6553">
            <w:pPr>
              <w:rPr>
                <w:rFonts w:ascii="Calibri" w:hAnsi="Calibri" w:cs="Calibri"/>
                <w:lang w:val="en-US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52895343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95343" name="Grafik 5289534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0347F" w:rsidRDefault="00A0347F" w:rsidP="009F6553">
            <w:pPr>
              <w:rPr>
                <w:rFonts w:ascii="Calibri" w:hAnsi="Calibri" w:cs="Calibri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RichardBrink_Atrium-2025_0</w:t>
            </w:r>
            <w:r>
              <w:rPr>
                <w:rFonts w:ascii="Calibri" w:hAnsi="Calibri" w:cs="Calibri"/>
                <w:sz w:val="20"/>
              </w:rPr>
              <w:t>9</w:t>
            </w: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  <w:p w:rsidR="00A0347F" w:rsidRDefault="00A0347F" w:rsidP="009F65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A0347F" w:rsidRPr="00D92B25" w:rsidRDefault="00A0347F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D92B25">
              <w:rPr>
                <w:rFonts w:ascii="Calibri" w:hAnsi="Calibri" w:cs="Calibri"/>
                <w:color w:val="000000"/>
                <w:szCs w:val="22"/>
              </w:rPr>
              <w:t>Ebenfalls zum Komplettpaket gehör</w:t>
            </w:r>
            <w:r>
              <w:rPr>
                <w:rFonts w:ascii="Calibri" w:hAnsi="Calibri" w:cs="Calibri"/>
                <w:color w:val="000000"/>
                <w:szCs w:val="22"/>
              </w:rPr>
              <w:t>t ein aufsteckbares Ablaufprofil aus geschliffenem Edelstahl. Ein einlegbarer Einsatz inklusive Haarsieb erleichtert die Reinigung.</w:t>
            </w:r>
          </w:p>
          <w:p w:rsidR="00D92B25" w:rsidRPr="00D92B25" w:rsidRDefault="00D92B25" w:rsidP="009F655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A0347F" w:rsidRPr="00D92B25" w:rsidRDefault="00A0347F" w:rsidP="009F6553">
            <w:pPr>
              <w:rPr>
                <w:rFonts w:ascii="Calibri" w:hAnsi="Calibri" w:cs="Calibri"/>
                <w:color w:val="7F7F7F"/>
                <w:sz w:val="20"/>
              </w:rPr>
            </w:pPr>
            <w:r w:rsidRPr="00D92B25">
              <w:rPr>
                <w:rFonts w:ascii="Calibri" w:hAnsi="Calibri" w:cs="Calibri"/>
                <w:color w:val="7F7F7F"/>
                <w:sz w:val="20"/>
              </w:rPr>
              <w:t>Foto: Richard Brink GmbH &amp; Co. KG</w:t>
            </w:r>
          </w:p>
          <w:p w:rsidR="00A0347F" w:rsidRPr="00D92B25" w:rsidRDefault="00A0347F" w:rsidP="009F6553">
            <w:pPr>
              <w:rPr>
                <w:rFonts w:ascii="Calibri" w:hAnsi="Calibri" w:cs="Calibri"/>
              </w:rPr>
            </w:pPr>
          </w:p>
          <w:p w:rsidR="00A0347F" w:rsidRPr="00D92B25" w:rsidRDefault="00A0347F" w:rsidP="009F6553">
            <w:pPr>
              <w:rPr>
                <w:rFonts w:ascii="Calibri" w:hAnsi="Calibri" w:cs="Calibri"/>
              </w:rPr>
            </w:pPr>
          </w:p>
        </w:tc>
      </w:tr>
      <w:tr w:rsidR="00D96EF3" w:rsidTr="00D92B25">
        <w:trPr>
          <w:trHeight w:val="2821"/>
        </w:trPr>
        <w:tc>
          <w:tcPr>
            <w:tcW w:w="2835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71666D" w:rsidRDefault="00A0347F" w:rsidP="00D96EF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92311778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17781" name="Grafik 192311778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D96EF3" w:rsidRDefault="00D96EF3" w:rsidP="00D96EF3">
            <w:pPr>
              <w:rPr>
                <w:rFonts w:ascii="Calibri" w:hAnsi="Calibri" w:cs="Calibri"/>
              </w:rPr>
            </w:pPr>
          </w:p>
          <w:p w:rsidR="00E5510F" w:rsidRDefault="00A0347F" w:rsidP="00E5510F">
            <w:pPr>
              <w:rPr>
                <w:rFonts w:ascii="Calibri" w:hAnsi="Calibri" w:cs="Calibri"/>
                <w:szCs w:val="22"/>
              </w:rPr>
            </w:pPr>
            <w:r w:rsidRPr="00A0347F">
              <w:rPr>
                <w:rFonts w:ascii="Calibri" w:hAnsi="Calibri" w:cs="Calibri"/>
                <w:sz w:val="20"/>
              </w:rPr>
              <w:t>RichardBrink_Atrium-2025_</w:t>
            </w:r>
            <w:r>
              <w:rPr>
                <w:rFonts w:ascii="Calibri" w:hAnsi="Calibri" w:cs="Calibri"/>
                <w:sz w:val="20"/>
              </w:rPr>
              <w:t>10</w:t>
            </w:r>
          </w:p>
          <w:p w:rsidR="00E5510F" w:rsidRDefault="00E5510F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B27301" w:rsidRDefault="00B27301" w:rsidP="00E5510F">
            <w:pPr>
              <w:rPr>
                <w:rFonts w:ascii="Calibri" w:hAnsi="Calibri" w:cs="Calibri"/>
                <w:szCs w:val="22"/>
              </w:rPr>
            </w:pPr>
          </w:p>
          <w:p w:rsidR="009E2D53" w:rsidRDefault="009E2D53" w:rsidP="009E2D53">
            <w:pPr>
              <w:rPr>
                <w:rFonts w:ascii="Calibri" w:hAnsi="Calibri" w:cs="Calibri"/>
                <w:szCs w:val="22"/>
              </w:rPr>
            </w:pPr>
          </w:p>
          <w:p w:rsidR="00815DD2" w:rsidRDefault="00815DD2" w:rsidP="009E2D5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72" w:type="dxa"/>
          </w:tcPr>
          <w:p w:rsidR="00D96EF3" w:rsidRPr="00D92B25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E03C13" w:rsidRDefault="00D92B25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  <w:r w:rsidRPr="00D92B25">
              <w:rPr>
                <w:rFonts w:ascii="Calibri" w:hAnsi="Calibri" w:cs="Calibri"/>
                <w:color w:val="000000"/>
                <w:szCs w:val="22"/>
              </w:rPr>
              <w:t>Für welches Gestaltungskonzept sich Kunde</w:t>
            </w:r>
            <w:r>
              <w:rPr>
                <w:rFonts w:ascii="Calibri" w:hAnsi="Calibri" w:cs="Calibri"/>
                <w:color w:val="000000"/>
                <w:szCs w:val="22"/>
              </w:rPr>
              <w:t>n</w:t>
            </w:r>
            <w:r w:rsidRPr="00D92B25">
              <w:rPr>
                <w:rFonts w:ascii="Calibri" w:hAnsi="Calibri" w:cs="Calibri"/>
                <w:color w:val="000000"/>
                <w:szCs w:val="22"/>
              </w:rPr>
              <w:t xml:space="preserve"> auch entscheiden – die Duschwanne </w:t>
            </w:r>
            <w:r>
              <w:rPr>
                <w:rFonts w:ascii="Calibri" w:hAnsi="Calibri" w:cs="Calibri"/>
                <w:color w:val="000000"/>
                <w:szCs w:val="22"/>
              </w:rPr>
              <w:t>„</w:t>
            </w:r>
            <w:r w:rsidRPr="00D92B25">
              <w:rPr>
                <w:rFonts w:ascii="Calibri" w:hAnsi="Calibri" w:cs="Calibri"/>
                <w:color w:val="000000"/>
                <w:szCs w:val="22"/>
              </w:rPr>
              <w:t>At</w:t>
            </w:r>
            <w:r>
              <w:rPr>
                <w:rFonts w:ascii="Calibri" w:hAnsi="Calibri" w:cs="Calibri"/>
                <w:color w:val="000000"/>
                <w:szCs w:val="22"/>
              </w:rPr>
              <w:t>rium“ erlaubt stets eine individuelle Umsetzung bei einem Höchstmaß an Funktionalität, Passgenauigkeit und Wasserdichtigkeit.</w:t>
            </w:r>
          </w:p>
          <w:p w:rsidR="00D92B25" w:rsidRPr="00D92B25" w:rsidRDefault="00D92B25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color w:val="7F7F7F"/>
                <w:sz w:val="20"/>
                <w:lang w:val="en-US"/>
              </w:rPr>
            </w:pPr>
            <w:proofErr w:type="spellStart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>Foto</w:t>
            </w:r>
            <w:proofErr w:type="spellEnd"/>
            <w:r w:rsidRPr="00EC2ACF">
              <w:rPr>
                <w:rFonts w:ascii="Calibri" w:hAnsi="Calibri" w:cs="Calibri"/>
                <w:color w:val="7F7F7F"/>
                <w:sz w:val="20"/>
                <w:lang w:val="en-US"/>
              </w:rPr>
              <w:t xml:space="preserve">: Richard Brink GmbH &amp; Co. </w:t>
            </w:r>
            <w:r>
              <w:rPr>
                <w:rFonts w:ascii="Calibri" w:hAnsi="Calibri" w:cs="Calibri"/>
                <w:color w:val="7F7F7F"/>
                <w:sz w:val="20"/>
                <w:lang w:val="en-US"/>
              </w:rPr>
              <w:t>KG</w:t>
            </w:r>
          </w:p>
          <w:p w:rsidR="00EA48C2" w:rsidRDefault="00EA48C2" w:rsidP="00D96EF3">
            <w:pPr>
              <w:rPr>
                <w:rFonts w:ascii="Calibri" w:hAnsi="Calibri" w:cs="Calibri"/>
                <w:lang w:val="en-US"/>
              </w:rPr>
            </w:pPr>
          </w:p>
          <w:p w:rsidR="00D96EF3" w:rsidRDefault="00D96EF3" w:rsidP="00D96EF3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97530E" w:rsidRDefault="0097530E">
      <w:pPr>
        <w:rPr>
          <w:rFonts w:ascii="Calibri" w:hAnsi="Calibri" w:cs="Calibri"/>
          <w:lang w:val="en-US"/>
        </w:rPr>
      </w:pPr>
    </w:p>
    <w:sectPr w:rsidR="0097530E" w:rsidSect="00106541">
      <w:headerReference w:type="default" r:id="rId17"/>
      <w:footerReference w:type="defaul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:rsidR="00B67C54" w:rsidRDefault="00B67C54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65" w:rsidRDefault="00EC2ACF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485B97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322070" cy="1229995"/>
              <wp:effectExtent l="0" t="0" r="0" b="0"/>
              <wp:wrapNone/>
              <wp:docPr id="13499971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22070" cy="122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EC2ACF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B8C546">
                                <wp:extent cx="1140460" cy="1140460"/>
                                <wp:effectExtent l="0" t="0" r="0" b="0"/>
                                <wp:docPr id="5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0460" cy="1140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04.1pt;height:96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" stroked="f">
              <v:path arrowok="t"/>
              <v:textbox style="mso-fit-shape-to-text:t">
                <w:txbxContent>
                  <w:p w14:paraId="7061CC21" w14:textId="59E63B6E" w:rsidR="001A0265" w:rsidRDefault="00EC2ACF" w:rsidP="00816A23">
                    <w:r>
                      <w:rPr>
                        <w:noProof/>
                      </w:rPr>
                      <w:drawing>
                        <wp:inline distT="0" distB="0" distL="0" distR="0" wp14:anchorId="3DB8C546">
                          <wp:extent cx="1140460" cy="1140460"/>
                          <wp:effectExtent l="0" t="0" r="0" b="0"/>
                          <wp:docPr id="5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0460" cy="1140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1A0265" w:rsidRDefault="00EC2ACF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EE849A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17241886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265" w:rsidRDefault="001A0265">
                          <w:pPr>
                            <w:pStyle w:val="berschrift1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" stroked="f">
              <v:path arrowok="t"/>
              <v:textbox inset="0,0,0,0">
                <w:txbxContent>
                  <w:p w14:paraId="3AD9AE5D" w14:textId="77777777" w:rsidR="001A0265" w:rsidRDefault="001A0265">
                    <w:pPr>
                      <w:pStyle w:val="berschrift1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0034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312B"/>
    <w:rsid w:val="000F465C"/>
    <w:rsid w:val="000F499B"/>
    <w:rsid w:val="000F7229"/>
    <w:rsid w:val="00100628"/>
    <w:rsid w:val="00106541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777D1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4DD2"/>
    <w:rsid w:val="001E53CA"/>
    <w:rsid w:val="001F2B65"/>
    <w:rsid w:val="00204CCA"/>
    <w:rsid w:val="0022371B"/>
    <w:rsid w:val="0022438D"/>
    <w:rsid w:val="00234523"/>
    <w:rsid w:val="00247812"/>
    <w:rsid w:val="002504D2"/>
    <w:rsid w:val="00252A35"/>
    <w:rsid w:val="002540D9"/>
    <w:rsid w:val="00257F8F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2E4E"/>
    <w:rsid w:val="00346317"/>
    <w:rsid w:val="0034730F"/>
    <w:rsid w:val="0035096B"/>
    <w:rsid w:val="00353B8C"/>
    <w:rsid w:val="00355CB4"/>
    <w:rsid w:val="00373DFF"/>
    <w:rsid w:val="00380164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1890"/>
    <w:rsid w:val="003E356C"/>
    <w:rsid w:val="003E4BE1"/>
    <w:rsid w:val="003E6840"/>
    <w:rsid w:val="003F4FB3"/>
    <w:rsid w:val="004059EA"/>
    <w:rsid w:val="00410163"/>
    <w:rsid w:val="004118D0"/>
    <w:rsid w:val="004134A3"/>
    <w:rsid w:val="00413CD7"/>
    <w:rsid w:val="0042505C"/>
    <w:rsid w:val="00434EA5"/>
    <w:rsid w:val="004373D2"/>
    <w:rsid w:val="004465C9"/>
    <w:rsid w:val="004500EC"/>
    <w:rsid w:val="00451479"/>
    <w:rsid w:val="00461153"/>
    <w:rsid w:val="00465CFF"/>
    <w:rsid w:val="004749C2"/>
    <w:rsid w:val="00485244"/>
    <w:rsid w:val="0048618C"/>
    <w:rsid w:val="004877F2"/>
    <w:rsid w:val="00491E75"/>
    <w:rsid w:val="0049472B"/>
    <w:rsid w:val="00494C7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422F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06"/>
    <w:rsid w:val="00640CAD"/>
    <w:rsid w:val="0065393F"/>
    <w:rsid w:val="00657CC1"/>
    <w:rsid w:val="00660511"/>
    <w:rsid w:val="00666388"/>
    <w:rsid w:val="006745BC"/>
    <w:rsid w:val="006762E2"/>
    <w:rsid w:val="00676D60"/>
    <w:rsid w:val="00680AB0"/>
    <w:rsid w:val="00681459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1B61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B6800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347F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4E52"/>
    <w:rsid w:val="00B15515"/>
    <w:rsid w:val="00B27301"/>
    <w:rsid w:val="00B335A3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67C54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2B25"/>
    <w:rsid w:val="00D96EF3"/>
    <w:rsid w:val="00D97348"/>
    <w:rsid w:val="00D976A5"/>
    <w:rsid w:val="00D97FEE"/>
    <w:rsid w:val="00DA0753"/>
    <w:rsid w:val="00DA0F7D"/>
    <w:rsid w:val="00DA2A67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6D1B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03C13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169B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C16B9"/>
    <w:rsid w:val="00EC2ACF"/>
    <w:rsid w:val="00EC5BD6"/>
    <w:rsid w:val="00EC66B0"/>
    <w:rsid w:val="00ED3D1F"/>
    <w:rsid w:val="00ED6B8D"/>
    <w:rsid w:val="00EE53F5"/>
    <w:rsid w:val="00EE72D3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D7E3E"/>
    <w:rsid w:val="00FE1CD2"/>
    <w:rsid w:val="00FE1E01"/>
    <w:rsid w:val="00FE4343"/>
    <w:rsid w:val="00FE6E65"/>
    <w:rsid w:val="00FF0560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098ECC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434E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47</cp:revision>
  <cp:lastPrinted>2020-02-06T07:50:00Z</cp:lastPrinted>
  <dcterms:created xsi:type="dcterms:W3CDTF">2022-06-10T10:32:00Z</dcterms:created>
  <dcterms:modified xsi:type="dcterms:W3CDTF">2025-04-08T13:11:00Z</dcterms:modified>
</cp:coreProperties>
</file>