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5396" w14:textId="77777777" w:rsidR="00B660C0" w:rsidRDefault="00CC3F67" w:rsidP="00B660C0">
      <w:pPr>
        <w:rPr>
          <w:rFonts w:ascii="PT Sans" w:hAnsi="PT Sans" w:cs="Arial"/>
          <w:sz w:val="28"/>
          <w:szCs w:val="28"/>
        </w:rPr>
      </w:pPr>
      <w:r w:rsidRPr="00B660C0">
        <w:rPr>
          <w:rFonts w:ascii="PT Sans" w:hAnsi="PT Sans" w:cs="Arial"/>
          <w:b/>
          <w:i/>
          <w:iCs/>
          <w:color w:val="D20A10"/>
          <w:sz w:val="36"/>
          <w:szCs w:val="36"/>
        </w:rPr>
        <w:t>Solar trifft Gründach</w:t>
      </w:r>
      <w:r w:rsidR="00B660C0">
        <w:rPr>
          <w:rFonts w:ascii="PT Sans" w:hAnsi="PT Sans" w:cs="Arial"/>
          <w:b/>
          <w:i/>
          <w:iCs/>
          <w:color w:val="D20A10"/>
          <w:sz w:val="36"/>
          <w:szCs w:val="36"/>
        </w:rPr>
        <w:br/>
      </w:r>
      <w:r w:rsidRPr="00B660C0">
        <w:rPr>
          <w:rFonts w:ascii="PT Sans" w:hAnsi="PT Sans" w:cs="Arial"/>
          <w:sz w:val="28"/>
          <w:szCs w:val="28"/>
        </w:rPr>
        <w:t xml:space="preserve">PV-Unterkonstruktionen </w:t>
      </w:r>
      <w:r w:rsidR="0065245A" w:rsidRPr="00B660C0">
        <w:rPr>
          <w:rFonts w:ascii="PT Sans" w:hAnsi="PT Sans" w:cs="Arial"/>
          <w:sz w:val="28"/>
          <w:szCs w:val="28"/>
        </w:rPr>
        <w:t xml:space="preserve">der Firma Richard Brink </w:t>
      </w:r>
      <w:r w:rsidRPr="00B660C0">
        <w:rPr>
          <w:rFonts w:ascii="PT Sans" w:hAnsi="PT Sans" w:cs="Arial"/>
          <w:sz w:val="28"/>
          <w:szCs w:val="28"/>
        </w:rPr>
        <w:t xml:space="preserve">zur Kombination mit </w:t>
      </w:r>
      <w:r w:rsidR="0065245A" w:rsidRPr="00B660C0">
        <w:rPr>
          <w:rFonts w:ascii="PT Sans" w:hAnsi="PT Sans" w:cs="Arial"/>
          <w:sz w:val="28"/>
          <w:szCs w:val="28"/>
        </w:rPr>
        <w:t>Gründach</w:t>
      </w:r>
    </w:p>
    <w:p w14:paraId="0D3DC664" w14:textId="16BBF56E" w:rsidR="0013426C" w:rsidRPr="00B660C0" w:rsidRDefault="00B660C0" w:rsidP="00B660C0">
      <w:pPr>
        <w:spacing w:line="360" w:lineRule="auto"/>
        <w:rPr>
          <w:rFonts w:cs="Arial"/>
          <w:b/>
          <w:sz w:val="24"/>
          <w:szCs w:val="24"/>
        </w:rPr>
      </w:pPr>
      <w:r>
        <w:rPr>
          <w:rFonts w:ascii="PT Sans" w:hAnsi="PT Sans" w:cs="Arial"/>
          <w:bCs/>
          <w:sz w:val="24"/>
          <w:szCs w:val="24"/>
        </w:rPr>
        <w:br/>
      </w:r>
      <w:proofErr w:type="spellStart"/>
      <w:r w:rsidR="009D23C7" w:rsidRPr="00B660C0">
        <w:rPr>
          <w:rFonts w:ascii="PT Sans" w:hAnsi="PT Sans" w:cs="Arial"/>
          <w:bCs/>
          <w:sz w:val="24"/>
          <w:szCs w:val="24"/>
        </w:rPr>
        <w:t>Schloß</w:t>
      </w:r>
      <w:proofErr w:type="spellEnd"/>
      <w:r w:rsidR="009D23C7" w:rsidRPr="00B660C0">
        <w:rPr>
          <w:rFonts w:ascii="PT Sans" w:hAnsi="PT Sans" w:cs="Arial"/>
          <w:bCs/>
          <w:sz w:val="24"/>
          <w:szCs w:val="24"/>
        </w:rPr>
        <w:t xml:space="preserve"> Holte-Stukenbrock,</w:t>
      </w:r>
      <w:r w:rsidR="0065245A" w:rsidRPr="00B660C0">
        <w:rPr>
          <w:rFonts w:ascii="PT Sans" w:hAnsi="PT Sans" w:cs="Arial"/>
          <w:bCs/>
          <w:sz w:val="24"/>
          <w:szCs w:val="24"/>
        </w:rPr>
        <w:t xml:space="preserve"> </w:t>
      </w:r>
      <w:r w:rsidR="00210FD7">
        <w:rPr>
          <w:rFonts w:ascii="PT Sans" w:hAnsi="PT Sans" w:cs="Arial"/>
          <w:bCs/>
          <w:sz w:val="24"/>
          <w:szCs w:val="24"/>
        </w:rPr>
        <w:t>03.07</w:t>
      </w:r>
      <w:r w:rsidR="0065245A" w:rsidRPr="00B660C0">
        <w:rPr>
          <w:rFonts w:ascii="PT Sans" w:hAnsi="PT Sans" w:cs="Arial"/>
          <w:bCs/>
          <w:sz w:val="24"/>
          <w:szCs w:val="24"/>
        </w:rPr>
        <w:t>.</w:t>
      </w:r>
      <w:r w:rsidR="009D23C7" w:rsidRPr="00B660C0">
        <w:rPr>
          <w:rFonts w:ascii="PT Sans" w:hAnsi="PT Sans" w:cs="Arial"/>
          <w:bCs/>
          <w:sz w:val="24"/>
          <w:szCs w:val="24"/>
        </w:rPr>
        <w:t>202</w:t>
      </w:r>
      <w:r w:rsidR="00B21F09" w:rsidRPr="00B660C0">
        <w:rPr>
          <w:rFonts w:ascii="PT Sans" w:hAnsi="PT Sans" w:cs="Arial"/>
          <w:bCs/>
          <w:sz w:val="24"/>
          <w:szCs w:val="24"/>
        </w:rPr>
        <w:t>4</w:t>
      </w:r>
      <w:r>
        <w:rPr>
          <w:rFonts w:ascii="PT Sans" w:hAnsi="PT Sans" w:cs="Arial"/>
          <w:bCs/>
          <w:sz w:val="24"/>
          <w:szCs w:val="24"/>
        </w:rPr>
        <w:t>:</w:t>
      </w:r>
      <w:r w:rsidR="009D23C7">
        <w:rPr>
          <w:rFonts w:cs="Arial"/>
          <w:b/>
          <w:sz w:val="24"/>
          <w:szCs w:val="24"/>
        </w:rPr>
        <w:t xml:space="preserve"> </w:t>
      </w:r>
      <w:r>
        <w:rPr>
          <w:rFonts w:cs="Arial"/>
          <w:b/>
          <w:sz w:val="24"/>
          <w:szCs w:val="24"/>
        </w:rPr>
        <w:br/>
      </w:r>
      <w:r w:rsidR="00CC3F67" w:rsidRPr="00B660C0">
        <w:rPr>
          <w:rFonts w:ascii="PT Sans" w:hAnsi="PT Sans" w:cs="Arial"/>
          <w:b/>
          <w:sz w:val="24"/>
          <w:szCs w:val="24"/>
        </w:rPr>
        <w:t>Mit ihren Solarunterkonstruktionen „</w:t>
      </w:r>
      <w:proofErr w:type="spellStart"/>
      <w:r w:rsidR="00CC3F67" w:rsidRPr="00B660C0">
        <w:rPr>
          <w:rFonts w:ascii="PT Sans" w:hAnsi="PT Sans" w:cs="Arial"/>
          <w:b/>
          <w:sz w:val="24"/>
          <w:szCs w:val="24"/>
        </w:rPr>
        <w:t>Miralux</w:t>
      </w:r>
      <w:proofErr w:type="spellEnd"/>
      <w:r w:rsidR="00CC3F67" w:rsidRPr="00B660C0">
        <w:rPr>
          <w:rFonts w:ascii="PT Sans" w:hAnsi="PT Sans" w:cs="Arial"/>
          <w:b/>
          <w:sz w:val="24"/>
          <w:szCs w:val="24"/>
        </w:rPr>
        <w:t>“ bietet die Richard Brink GmbH &amp; Co. KG ihren Kunden flexible und überaus einfach zu handhabende Aufständerungen für Flachdächer. Damit Bauherren die Potenziale ihrer Dachflächen vollends ausschöpfen können</w:t>
      </w:r>
      <w:r w:rsidR="0065245A" w:rsidRPr="00B660C0">
        <w:rPr>
          <w:rFonts w:ascii="PT Sans" w:hAnsi="PT Sans" w:cs="Arial"/>
          <w:b/>
          <w:sz w:val="24"/>
          <w:szCs w:val="24"/>
        </w:rPr>
        <w:t>,</w:t>
      </w:r>
      <w:r w:rsidR="00CC3F67" w:rsidRPr="00B660C0">
        <w:rPr>
          <w:rFonts w:ascii="PT Sans" w:hAnsi="PT Sans" w:cs="Arial"/>
          <w:b/>
          <w:sz w:val="24"/>
          <w:szCs w:val="24"/>
        </w:rPr>
        <w:t xml:space="preserve"> hat der Metallwarenhersteller Ausführungen zur Kombination mit Dachbegrünungen in sein Sortiment aufgenommen – und das sowohl für Neubauten als auch </w:t>
      </w:r>
      <w:r w:rsidR="0065245A" w:rsidRPr="00B660C0">
        <w:rPr>
          <w:rFonts w:ascii="PT Sans" w:hAnsi="PT Sans" w:cs="Arial"/>
          <w:b/>
          <w:sz w:val="24"/>
          <w:szCs w:val="24"/>
        </w:rPr>
        <w:t xml:space="preserve">für </w:t>
      </w:r>
      <w:r w:rsidR="00CC3F67" w:rsidRPr="00B660C0">
        <w:rPr>
          <w:rFonts w:ascii="PT Sans" w:hAnsi="PT Sans" w:cs="Arial"/>
          <w:b/>
          <w:sz w:val="24"/>
          <w:szCs w:val="24"/>
        </w:rPr>
        <w:t>begrünte Bestandsflächen.</w:t>
      </w:r>
      <w:r w:rsidR="00CC3F67">
        <w:rPr>
          <w:rFonts w:cs="Arial"/>
          <w:b/>
          <w:sz w:val="24"/>
          <w:szCs w:val="24"/>
        </w:rPr>
        <w:t xml:space="preserve"> </w:t>
      </w:r>
    </w:p>
    <w:p w14:paraId="67874EEF" w14:textId="2F2DF8DD" w:rsidR="00AE3987" w:rsidRPr="00B660C0" w:rsidRDefault="00AE3987" w:rsidP="00301051">
      <w:pPr>
        <w:spacing w:line="360" w:lineRule="auto"/>
        <w:rPr>
          <w:rFonts w:ascii="PT Sans" w:hAnsi="PT Sans" w:cs="Arial"/>
          <w:bCs/>
          <w:sz w:val="24"/>
          <w:szCs w:val="24"/>
        </w:rPr>
      </w:pPr>
      <w:r w:rsidRPr="00B660C0">
        <w:rPr>
          <w:rFonts w:ascii="PT Sans" w:hAnsi="PT Sans" w:cs="Arial"/>
          <w:bCs/>
          <w:sz w:val="24"/>
          <w:szCs w:val="24"/>
        </w:rPr>
        <w:t xml:space="preserve">Die Verbindung von Gründach und Photovoltaik bietet eine perfekte Symbiose der ökologischen und energetischen Aspekte eines Gebäudes. Ein Gründach verbessert das Mikroklima, bindet CO₂, fördert die Artenvielfalt und dient als natürlicher Wärmeschutz. Eine Photovoltaikanlage ermöglicht die umweltfreundliche Erzeugung von sauberem Strom und reduziert den Bedarf an konventioneller Energieerzeugung. Oftmals stehen Bauherren vor dem Dilemma, sich zwischen einem der beiden Systeme entscheiden zu müssen. Genau hier setzt die Firma Richard Brink mit </w:t>
      </w:r>
      <w:r w:rsidR="00952695" w:rsidRPr="00B660C0">
        <w:rPr>
          <w:rFonts w:ascii="PT Sans" w:hAnsi="PT Sans" w:cs="Arial"/>
          <w:bCs/>
          <w:sz w:val="24"/>
          <w:szCs w:val="24"/>
        </w:rPr>
        <w:t>zwei</w:t>
      </w:r>
      <w:r w:rsidRPr="00B660C0">
        <w:rPr>
          <w:rFonts w:ascii="PT Sans" w:hAnsi="PT Sans" w:cs="Arial"/>
          <w:bCs/>
          <w:sz w:val="24"/>
          <w:szCs w:val="24"/>
        </w:rPr>
        <w:t xml:space="preserve"> Varianten </w:t>
      </w:r>
      <w:r w:rsidR="00952695" w:rsidRPr="00B660C0">
        <w:rPr>
          <w:rFonts w:ascii="PT Sans" w:hAnsi="PT Sans" w:cs="Arial"/>
          <w:bCs/>
          <w:sz w:val="24"/>
          <w:szCs w:val="24"/>
        </w:rPr>
        <w:t>ihrer</w:t>
      </w:r>
      <w:r w:rsidRPr="00B660C0">
        <w:rPr>
          <w:rFonts w:ascii="PT Sans" w:hAnsi="PT Sans" w:cs="Arial"/>
          <w:bCs/>
          <w:sz w:val="24"/>
          <w:szCs w:val="24"/>
        </w:rPr>
        <w:t xml:space="preserve"> Solarunterkonstruktionen „</w:t>
      </w:r>
      <w:proofErr w:type="spellStart"/>
      <w:r w:rsidRPr="00B660C0">
        <w:rPr>
          <w:rFonts w:ascii="PT Sans" w:hAnsi="PT Sans" w:cs="Arial"/>
          <w:bCs/>
          <w:sz w:val="24"/>
          <w:szCs w:val="24"/>
        </w:rPr>
        <w:t>Miralux</w:t>
      </w:r>
      <w:proofErr w:type="spellEnd"/>
      <w:r w:rsidRPr="00B660C0">
        <w:rPr>
          <w:rFonts w:ascii="PT Sans" w:hAnsi="PT Sans" w:cs="Arial"/>
          <w:bCs/>
          <w:sz w:val="24"/>
          <w:szCs w:val="24"/>
        </w:rPr>
        <w:t>“ zur Verknüpfung beider Potenziale an.</w:t>
      </w:r>
    </w:p>
    <w:p w14:paraId="529C4852" w14:textId="1BD32271" w:rsidR="00AE3987" w:rsidRPr="00B660C0" w:rsidRDefault="00AE3987" w:rsidP="00301051">
      <w:pPr>
        <w:spacing w:line="360" w:lineRule="auto"/>
        <w:rPr>
          <w:rFonts w:ascii="PT Sans" w:hAnsi="PT Sans" w:cs="Arial"/>
          <w:b/>
          <w:color w:val="D20A10"/>
          <w:sz w:val="24"/>
          <w:szCs w:val="24"/>
        </w:rPr>
      </w:pPr>
      <w:r w:rsidRPr="00B660C0">
        <w:rPr>
          <w:rFonts w:ascii="PT Sans" w:hAnsi="PT Sans" w:cs="Arial"/>
          <w:b/>
          <w:color w:val="D20A10"/>
          <w:sz w:val="24"/>
          <w:szCs w:val="24"/>
        </w:rPr>
        <w:t xml:space="preserve">Gründach und </w:t>
      </w:r>
      <w:proofErr w:type="spellStart"/>
      <w:r w:rsidRPr="00B660C0">
        <w:rPr>
          <w:rFonts w:ascii="PT Sans" w:hAnsi="PT Sans" w:cs="Arial"/>
          <w:b/>
          <w:color w:val="D20A10"/>
          <w:sz w:val="24"/>
          <w:szCs w:val="24"/>
        </w:rPr>
        <w:t>Ballastierung</w:t>
      </w:r>
      <w:proofErr w:type="spellEnd"/>
      <w:r w:rsidRPr="00B660C0">
        <w:rPr>
          <w:rFonts w:ascii="PT Sans" w:hAnsi="PT Sans" w:cs="Arial"/>
          <w:b/>
          <w:color w:val="D20A10"/>
          <w:sz w:val="24"/>
          <w:szCs w:val="24"/>
        </w:rPr>
        <w:t xml:space="preserve"> in einem System</w:t>
      </w:r>
    </w:p>
    <w:p w14:paraId="426505D1" w14:textId="2126C604" w:rsidR="00012294" w:rsidRPr="00B660C0" w:rsidRDefault="00CC3F67" w:rsidP="00301051">
      <w:pPr>
        <w:spacing w:line="360" w:lineRule="auto"/>
        <w:rPr>
          <w:rFonts w:ascii="PT Sans" w:hAnsi="PT Sans" w:cs="Arial"/>
          <w:bCs/>
          <w:sz w:val="24"/>
          <w:szCs w:val="24"/>
        </w:rPr>
      </w:pPr>
      <w:r w:rsidRPr="00B660C0">
        <w:rPr>
          <w:rFonts w:ascii="PT Sans" w:hAnsi="PT Sans" w:cs="Arial"/>
          <w:bCs/>
          <w:sz w:val="24"/>
          <w:szCs w:val="24"/>
        </w:rPr>
        <w:t>Die Variante „</w:t>
      </w:r>
      <w:proofErr w:type="spellStart"/>
      <w:r w:rsidRPr="00B660C0">
        <w:rPr>
          <w:rFonts w:ascii="PT Sans" w:hAnsi="PT Sans" w:cs="Arial"/>
          <w:bCs/>
          <w:sz w:val="24"/>
          <w:szCs w:val="24"/>
        </w:rPr>
        <w:t>Miralux</w:t>
      </w:r>
      <w:proofErr w:type="spellEnd"/>
      <w:r w:rsidRPr="00B660C0">
        <w:rPr>
          <w:rFonts w:ascii="PT Sans" w:hAnsi="PT Sans" w:cs="Arial"/>
          <w:bCs/>
          <w:sz w:val="24"/>
          <w:szCs w:val="24"/>
        </w:rPr>
        <w:t xml:space="preserve"> Green“ ist die Antwort auf die Herausforderung, die Vorteile von Solar und </w:t>
      </w:r>
      <w:r w:rsidR="002B2CB3" w:rsidRPr="00B660C0">
        <w:rPr>
          <w:rFonts w:ascii="PT Sans" w:hAnsi="PT Sans" w:cs="Arial"/>
          <w:bCs/>
          <w:sz w:val="24"/>
          <w:szCs w:val="24"/>
        </w:rPr>
        <w:t xml:space="preserve">extensivem </w:t>
      </w:r>
      <w:r w:rsidRPr="00B660C0">
        <w:rPr>
          <w:rFonts w:ascii="PT Sans" w:hAnsi="PT Sans" w:cs="Arial"/>
          <w:bCs/>
          <w:sz w:val="24"/>
          <w:szCs w:val="24"/>
        </w:rPr>
        <w:t xml:space="preserve">Gründach zu vereinen. Die Photovoltaik-Unterkonstruktion lässt sich sowohl für eine Ost-West- als </w:t>
      </w:r>
      <w:r w:rsidRPr="00B660C0">
        <w:rPr>
          <w:rFonts w:ascii="PT Sans" w:hAnsi="PT Sans" w:cs="Arial"/>
          <w:bCs/>
          <w:sz w:val="24"/>
          <w:szCs w:val="24"/>
        </w:rPr>
        <w:lastRenderedPageBreak/>
        <w:t xml:space="preserve">auch eine Süd-Ausrichtung planen und wird direkt in die extensive Dachbegrünung integriert. Dabei dienen die </w:t>
      </w:r>
      <w:proofErr w:type="spellStart"/>
      <w:r w:rsidRPr="00B660C0">
        <w:rPr>
          <w:rFonts w:ascii="PT Sans" w:hAnsi="PT Sans" w:cs="Arial"/>
          <w:bCs/>
          <w:sz w:val="24"/>
          <w:szCs w:val="24"/>
        </w:rPr>
        <w:t>Sedummatte</w:t>
      </w:r>
      <w:proofErr w:type="spellEnd"/>
      <w:r w:rsidRPr="00B660C0">
        <w:rPr>
          <w:rFonts w:ascii="PT Sans" w:hAnsi="PT Sans" w:cs="Arial"/>
          <w:bCs/>
          <w:sz w:val="24"/>
          <w:szCs w:val="24"/>
        </w:rPr>
        <w:t xml:space="preserve"> sowie die </w:t>
      </w:r>
      <w:proofErr w:type="spellStart"/>
      <w:r w:rsidRPr="00B660C0">
        <w:rPr>
          <w:rFonts w:ascii="PT Sans" w:hAnsi="PT Sans" w:cs="Arial"/>
          <w:bCs/>
          <w:sz w:val="24"/>
          <w:szCs w:val="24"/>
        </w:rPr>
        <w:t>Granulatschicht</w:t>
      </w:r>
      <w:proofErr w:type="spellEnd"/>
      <w:r w:rsidRPr="00B660C0">
        <w:rPr>
          <w:rFonts w:ascii="PT Sans" w:hAnsi="PT Sans" w:cs="Arial"/>
          <w:bCs/>
          <w:sz w:val="24"/>
          <w:szCs w:val="24"/>
        </w:rPr>
        <w:t xml:space="preserve"> gleichzeitig als </w:t>
      </w:r>
      <w:proofErr w:type="spellStart"/>
      <w:r w:rsidRPr="00B660C0">
        <w:rPr>
          <w:rFonts w:ascii="PT Sans" w:hAnsi="PT Sans" w:cs="Arial"/>
          <w:bCs/>
          <w:sz w:val="24"/>
          <w:szCs w:val="24"/>
        </w:rPr>
        <w:t>Ballastierung</w:t>
      </w:r>
      <w:proofErr w:type="spellEnd"/>
      <w:r w:rsidRPr="00B660C0">
        <w:rPr>
          <w:rFonts w:ascii="PT Sans" w:hAnsi="PT Sans" w:cs="Arial"/>
          <w:bCs/>
          <w:sz w:val="24"/>
          <w:szCs w:val="24"/>
        </w:rPr>
        <w:t>,</w:t>
      </w:r>
      <w:r w:rsidR="002B2CB3" w:rsidRPr="00B660C0">
        <w:rPr>
          <w:rFonts w:ascii="PT Sans" w:hAnsi="PT Sans" w:cs="Arial"/>
          <w:bCs/>
          <w:sz w:val="24"/>
          <w:szCs w:val="24"/>
        </w:rPr>
        <w:t xml:space="preserve"> die</w:t>
      </w:r>
      <w:r w:rsidRPr="00B660C0">
        <w:rPr>
          <w:rFonts w:ascii="PT Sans" w:hAnsi="PT Sans" w:cs="Arial"/>
          <w:bCs/>
          <w:sz w:val="24"/>
          <w:szCs w:val="24"/>
        </w:rPr>
        <w:t xml:space="preserve"> mittels eines Glasgittergewebes sowie Auflageblechen </w:t>
      </w:r>
      <w:r w:rsidR="0065245A" w:rsidRPr="00B660C0">
        <w:rPr>
          <w:rFonts w:ascii="PT Sans" w:hAnsi="PT Sans" w:cs="Arial"/>
          <w:bCs/>
          <w:sz w:val="24"/>
          <w:szCs w:val="24"/>
        </w:rPr>
        <w:t>für die</w:t>
      </w:r>
      <w:r w:rsidRPr="00B660C0">
        <w:rPr>
          <w:rFonts w:ascii="PT Sans" w:hAnsi="PT Sans" w:cs="Arial"/>
          <w:bCs/>
          <w:sz w:val="24"/>
          <w:szCs w:val="24"/>
        </w:rPr>
        <w:t xml:space="preserve"> Dachhaut </w:t>
      </w:r>
      <w:r w:rsidR="002B2CB3" w:rsidRPr="00B660C0">
        <w:rPr>
          <w:rFonts w:ascii="PT Sans" w:hAnsi="PT Sans" w:cs="Arial"/>
          <w:bCs/>
          <w:sz w:val="24"/>
          <w:szCs w:val="24"/>
        </w:rPr>
        <w:t>vollflächig auf die Unterkonstruktion einwirkt.</w:t>
      </w:r>
    </w:p>
    <w:p w14:paraId="73156A19" w14:textId="4FDE809A" w:rsidR="00AE3987" w:rsidRPr="00B660C0" w:rsidRDefault="00AE3987" w:rsidP="00301051">
      <w:pPr>
        <w:spacing w:line="360" w:lineRule="auto"/>
        <w:rPr>
          <w:rFonts w:ascii="PT Sans" w:hAnsi="PT Sans" w:cs="Arial"/>
          <w:bCs/>
          <w:sz w:val="24"/>
          <w:szCs w:val="24"/>
        </w:rPr>
      </w:pPr>
      <w:r w:rsidRPr="00B660C0">
        <w:rPr>
          <w:rFonts w:ascii="PT Sans" w:hAnsi="PT Sans" w:cs="Arial"/>
          <w:bCs/>
          <w:sz w:val="24"/>
          <w:szCs w:val="24"/>
        </w:rPr>
        <w:t>Der Aufbau gelingt in nur wenigen Schritten: Auf die Wurzelschutzfolie wird eine Drainagematte samt Filter</w:t>
      </w:r>
      <w:r w:rsidR="00E30F70" w:rsidRPr="00B660C0">
        <w:rPr>
          <w:rFonts w:ascii="PT Sans" w:hAnsi="PT Sans" w:cs="Arial"/>
          <w:bCs/>
          <w:sz w:val="24"/>
          <w:szCs w:val="24"/>
        </w:rPr>
        <w:t>-</w:t>
      </w:r>
      <w:r w:rsidRPr="00B660C0">
        <w:rPr>
          <w:rFonts w:ascii="PT Sans" w:hAnsi="PT Sans" w:cs="Arial"/>
          <w:bCs/>
          <w:sz w:val="24"/>
          <w:szCs w:val="24"/>
        </w:rPr>
        <w:t xml:space="preserve"> und Schutzvlies ausgelegt. Danach werden die Auflagebleche der Unterkonstruktion positioniert und mit einem Glasgittergewebe überspannt. Im nächsten Arbeitsschritt erfolgt dann die Montage der PV-Unterkonstruktion auf die Auflagebleche. Steht das ganze System, können das Granulat und die Begrünung aufgebracht werden. Das Glasgittergewebe, welches durch die extensive Dachbegrünung samt Granulat vollflächig beschwert wird, hält die Konstruktion wie ein Bodenanker am Untergrund fest, ohne sichtbar zu sein. Zum Schluss können dann die Solarmodule an der Unterkonstruktion befestigt und untereinander verkabelt werden.</w:t>
      </w:r>
    </w:p>
    <w:p w14:paraId="6B3B468E" w14:textId="55EF199C" w:rsidR="002B2CB3" w:rsidRPr="00B660C0" w:rsidRDefault="002B2CB3" w:rsidP="00301051">
      <w:pPr>
        <w:spacing w:line="360" w:lineRule="auto"/>
        <w:rPr>
          <w:rFonts w:ascii="PT Sans" w:hAnsi="PT Sans" w:cs="Arial"/>
          <w:b/>
          <w:color w:val="D20A10"/>
          <w:sz w:val="24"/>
          <w:szCs w:val="24"/>
        </w:rPr>
      </w:pPr>
      <w:r w:rsidRPr="00B660C0">
        <w:rPr>
          <w:rFonts w:ascii="PT Sans" w:hAnsi="PT Sans" w:cs="Arial"/>
          <w:b/>
          <w:color w:val="D20A10"/>
          <w:sz w:val="24"/>
          <w:szCs w:val="24"/>
        </w:rPr>
        <w:t>Aufständerung zum Nachrüsten von Solarmodulen</w:t>
      </w:r>
    </w:p>
    <w:p w14:paraId="0ED04F56" w14:textId="14C6DC1D" w:rsidR="002B2CB3" w:rsidRPr="00B660C0" w:rsidRDefault="002B2CB3" w:rsidP="00301051">
      <w:pPr>
        <w:spacing w:line="360" w:lineRule="auto"/>
        <w:rPr>
          <w:rFonts w:ascii="PT Sans" w:hAnsi="PT Sans" w:cs="Arial"/>
          <w:bCs/>
          <w:sz w:val="24"/>
          <w:szCs w:val="24"/>
        </w:rPr>
      </w:pPr>
      <w:r w:rsidRPr="00B660C0">
        <w:rPr>
          <w:rFonts w:ascii="PT Sans" w:hAnsi="PT Sans" w:cs="Arial"/>
          <w:bCs/>
          <w:sz w:val="24"/>
          <w:szCs w:val="24"/>
        </w:rPr>
        <w:t xml:space="preserve">Darüber hinaus hat die Firma Richard Brink eine spezielle Gründach-Aufständerung </w:t>
      </w:r>
      <w:r w:rsidR="00CE57A2" w:rsidRPr="00B660C0">
        <w:rPr>
          <w:rFonts w:ascii="PT Sans" w:hAnsi="PT Sans" w:cs="Arial"/>
          <w:bCs/>
          <w:sz w:val="24"/>
          <w:szCs w:val="24"/>
        </w:rPr>
        <w:t>für ihre Solarunterkonstruktionen „</w:t>
      </w:r>
      <w:proofErr w:type="spellStart"/>
      <w:r w:rsidR="00CE57A2" w:rsidRPr="00B660C0">
        <w:rPr>
          <w:rFonts w:ascii="PT Sans" w:hAnsi="PT Sans" w:cs="Arial"/>
          <w:bCs/>
          <w:sz w:val="24"/>
          <w:szCs w:val="24"/>
        </w:rPr>
        <w:t>Miralux</w:t>
      </w:r>
      <w:proofErr w:type="spellEnd"/>
      <w:r w:rsidR="00CE57A2" w:rsidRPr="00B660C0">
        <w:rPr>
          <w:rFonts w:ascii="PT Sans" w:hAnsi="PT Sans" w:cs="Arial"/>
          <w:bCs/>
          <w:sz w:val="24"/>
          <w:szCs w:val="24"/>
        </w:rPr>
        <w:t xml:space="preserve"> Flex“ </w:t>
      </w:r>
      <w:r w:rsidRPr="00B660C0">
        <w:rPr>
          <w:rFonts w:ascii="PT Sans" w:hAnsi="PT Sans" w:cs="Arial"/>
          <w:bCs/>
          <w:sz w:val="24"/>
          <w:szCs w:val="24"/>
        </w:rPr>
        <w:t xml:space="preserve">im Programm. Diese </w:t>
      </w:r>
      <w:r w:rsidR="00AE3987" w:rsidRPr="00B660C0">
        <w:rPr>
          <w:rFonts w:ascii="PT Sans" w:hAnsi="PT Sans" w:cs="Arial"/>
          <w:bCs/>
          <w:sz w:val="24"/>
          <w:szCs w:val="24"/>
        </w:rPr>
        <w:t>erlaubt sowohl die Erstbepflanzung von extensiven Gründächern in Kombination mit Photovoltaik-Unterkonstruktionen als auch eine nachträgliche Integration von Solaranlagen in bereits bestehende extensive Dachbegrünungen. Durch die fixe Erhöhung von 60 cm verbleibt ausreichend Raum zwischen Sedum und Modulen, um ein gesundes Wachstum der Bepflanzung sicherzustellen.</w:t>
      </w:r>
      <w:r w:rsidR="0065245A" w:rsidRPr="00B660C0">
        <w:rPr>
          <w:rFonts w:ascii="PT Sans" w:hAnsi="PT Sans" w:cs="Arial"/>
          <w:bCs/>
          <w:sz w:val="24"/>
          <w:szCs w:val="24"/>
        </w:rPr>
        <w:t xml:space="preserve"> Zur </w:t>
      </w:r>
      <w:proofErr w:type="spellStart"/>
      <w:r w:rsidR="0065245A" w:rsidRPr="00B660C0">
        <w:rPr>
          <w:rFonts w:ascii="PT Sans" w:hAnsi="PT Sans" w:cs="Arial"/>
          <w:bCs/>
          <w:sz w:val="24"/>
          <w:szCs w:val="24"/>
        </w:rPr>
        <w:t>Ballastierung</w:t>
      </w:r>
      <w:proofErr w:type="spellEnd"/>
      <w:r w:rsidR="0065245A" w:rsidRPr="00B660C0">
        <w:rPr>
          <w:rFonts w:ascii="PT Sans" w:hAnsi="PT Sans" w:cs="Arial"/>
          <w:bCs/>
          <w:sz w:val="24"/>
          <w:szCs w:val="24"/>
        </w:rPr>
        <w:t xml:space="preserve"> stehen zwei Ausführungen </w:t>
      </w:r>
      <w:proofErr w:type="spellStart"/>
      <w:r w:rsidR="0065245A" w:rsidRPr="00B660C0">
        <w:rPr>
          <w:rFonts w:ascii="PT Sans" w:hAnsi="PT Sans" w:cs="Arial"/>
          <w:bCs/>
          <w:sz w:val="24"/>
          <w:szCs w:val="24"/>
        </w:rPr>
        <w:t>verschraubbarer</w:t>
      </w:r>
      <w:proofErr w:type="spellEnd"/>
      <w:r w:rsidR="0065245A" w:rsidRPr="00B660C0">
        <w:rPr>
          <w:rFonts w:ascii="PT Sans" w:hAnsi="PT Sans" w:cs="Arial"/>
          <w:bCs/>
          <w:sz w:val="24"/>
          <w:szCs w:val="24"/>
        </w:rPr>
        <w:t xml:space="preserve"> Polymerbeton-Steine mit 16 </w:t>
      </w:r>
      <w:r w:rsidR="0065245A" w:rsidRPr="00B660C0">
        <w:rPr>
          <w:rFonts w:ascii="PT Sans" w:hAnsi="PT Sans" w:cs="Arial"/>
          <w:bCs/>
          <w:sz w:val="24"/>
          <w:szCs w:val="24"/>
        </w:rPr>
        <w:lastRenderedPageBreak/>
        <w:t>kg oder 34 kg zur Verfügung, die oberhalb eines Bautenschutzes direkt auf der Dachhaut platziert werden.</w:t>
      </w:r>
    </w:p>
    <w:p w14:paraId="51D0C6C9" w14:textId="6CF6864F" w:rsidR="001A053B" w:rsidRPr="00B660C0" w:rsidRDefault="006B15AF" w:rsidP="005B1417">
      <w:pPr>
        <w:spacing w:line="360" w:lineRule="auto"/>
        <w:rPr>
          <w:rFonts w:ascii="PT Sans" w:hAnsi="PT Sans" w:cs="Arial"/>
          <w:b/>
          <w:sz w:val="24"/>
          <w:szCs w:val="24"/>
        </w:rPr>
      </w:pPr>
      <w:r w:rsidRPr="00B660C0">
        <w:rPr>
          <w:rFonts w:ascii="PT Sans" w:hAnsi="PT Sans" w:cs="Arial"/>
          <w:b/>
          <w:sz w:val="24"/>
          <w:szCs w:val="24"/>
        </w:rPr>
        <w:t>(ca.</w:t>
      </w:r>
      <w:r w:rsidR="001659AD" w:rsidRPr="00B660C0">
        <w:rPr>
          <w:rFonts w:ascii="PT Sans" w:hAnsi="PT Sans" w:cs="Arial"/>
          <w:b/>
          <w:sz w:val="24"/>
          <w:szCs w:val="24"/>
        </w:rPr>
        <w:t xml:space="preserve"> </w:t>
      </w:r>
      <w:r w:rsidR="00AE3987" w:rsidRPr="00B660C0">
        <w:rPr>
          <w:rFonts w:ascii="PT Sans" w:hAnsi="PT Sans" w:cs="Arial"/>
          <w:b/>
          <w:sz w:val="24"/>
          <w:szCs w:val="24"/>
        </w:rPr>
        <w:t>3</w:t>
      </w:r>
      <w:r w:rsidR="00D95C76" w:rsidRPr="00B660C0">
        <w:rPr>
          <w:rFonts w:ascii="PT Sans" w:hAnsi="PT Sans" w:cs="Arial"/>
          <w:b/>
          <w:sz w:val="24"/>
          <w:szCs w:val="24"/>
        </w:rPr>
        <w:t>.</w:t>
      </w:r>
      <w:r w:rsidR="00AE3987" w:rsidRPr="00B660C0">
        <w:rPr>
          <w:rFonts w:ascii="PT Sans" w:hAnsi="PT Sans" w:cs="Arial"/>
          <w:b/>
          <w:sz w:val="24"/>
          <w:szCs w:val="24"/>
        </w:rPr>
        <w:t>23</w:t>
      </w:r>
      <w:r w:rsidR="0065245A" w:rsidRPr="00B660C0">
        <w:rPr>
          <w:rFonts w:ascii="PT Sans" w:hAnsi="PT Sans" w:cs="Arial"/>
          <w:b/>
          <w:sz w:val="24"/>
          <w:szCs w:val="24"/>
        </w:rPr>
        <w:t>0</w:t>
      </w:r>
      <w:r w:rsidRPr="00B660C0">
        <w:rPr>
          <w:rFonts w:ascii="PT Sans" w:hAnsi="PT Sans" w:cs="Arial"/>
          <w:b/>
          <w:sz w:val="24"/>
          <w:szCs w:val="24"/>
        </w:rPr>
        <w:t xml:space="preserve"> </w:t>
      </w:r>
      <w:r w:rsidR="001A053B" w:rsidRPr="00B660C0">
        <w:rPr>
          <w:rFonts w:ascii="PT Sans" w:hAnsi="PT Sans" w:cs="Arial"/>
          <w:b/>
          <w:sz w:val="24"/>
          <w:szCs w:val="24"/>
        </w:rPr>
        <w:t>Zeichen)</w:t>
      </w:r>
    </w:p>
    <w:p w14:paraId="782C9506" w14:textId="77777777" w:rsidR="0078299E" w:rsidRDefault="0078299E" w:rsidP="004B5AD1">
      <w:pPr>
        <w:spacing w:after="0" w:line="240" w:lineRule="auto"/>
        <w:rPr>
          <w:rFonts w:cs="Arial"/>
          <w:sz w:val="18"/>
        </w:rPr>
      </w:pPr>
    </w:p>
    <w:p w14:paraId="4431EFD7" w14:textId="77777777" w:rsidR="00115307" w:rsidRDefault="00115307" w:rsidP="004B5AD1">
      <w:pPr>
        <w:spacing w:after="0" w:line="240" w:lineRule="auto"/>
        <w:rPr>
          <w:rFonts w:cs="Arial"/>
          <w:sz w:val="18"/>
        </w:rPr>
      </w:pPr>
    </w:p>
    <w:p w14:paraId="07BC7338" w14:textId="77777777" w:rsidR="0065245A" w:rsidRPr="00B660C0" w:rsidRDefault="0065245A" w:rsidP="0065245A">
      <w:pPr>
        <w:spacing w:after="0" w:line="240" w:lineRule="auto"/>
        <w:rPr>
          <w:rFonts w:ascii="PT Sans" w:hAnsi="PT Sans" w:cs="Arial"/>
          <w:sz w:val="18"/>
        </w:rPr>
      </w:pPr>
      <w:r w:rsidRPr="00B660C0">
        <w:rPr>
          <w:rFonts w:ascii="PT Sans" w:hAnsi="PT Sans" w:cs="Arial"/>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639CD6E0" w14:textId="77777777" w:rsidR="0065245A" w:rsidRPr="00B660C0" w:rsidRDefault="0065245A" w:rsidP="0065245A">
      <w:pPr>
        <w:spacing w:after="0" w:line="240" w:lineRule="auto"/>
        <w:rPr>
          <w:rFonts w:ascii="PT Sans" w:hAnsi="PT Sans" w:cs="Arial"/>
          <w:sz w:val="18"/>
        </w:rPr>
      </w:pPr>
    </w:p>
    <w:p w14:paraId="12EC3DAC" w14:textId="77777777" w:rsidR="0065245A" w:rsidRPr="00B660C0" w:rsidRDefault="0065245A" w:rsidP="0065245A">
      <w:pPr>
        <w:spacing w:after="0" w:line="240" w:lineRule="auto"/>
        <w:rPr>
          <w:rFonts w:ascii="PT Sans" w:hAnsi="PT Sans" w:cs="Arial"/>
          <w:sz w:val="18"/>
        </w:rPr>
      </w:pPr>
      <w:r w:rsidRPr="00B660C0">
        <w:rPr>
          <w:rFonts w:ascii="PT Sans" w:hAnsi="PT Sans" w:cs="Arial"/>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B660C0">
          <w:rPr>
            <w:rStyle w:val="Hyperlink"/>
            <w:rFonts w:cs="Arial"/>
            <w:b/>
            <w:bCs/>
            <w:color w:val="D22624"/>
            <w:sz w:val="18"/>
          </w:rPr>
          <w:t>www.richard-brink.de</w:t>
        </w:r>
      </w:hyperlink>
      <w:r w:rsidRPr="00B660C0">
        <w:rPr>
          <w:rFonts w:ascii="PT Sans" w:hAnsi="PT Sans" w:cs="Arial"/>
          <w:sz w:val="18"/>
        </w:rPr>
        <w:t>.</w:t>
      </w:r>
    </w:p>
    <w:p w14:paraId="0C06B15A" w14:textId="77777777" w:rsidR="0065245A" w:rsidRPr="00B660C0" w:rsidRDefault="0065245A" w:rsidP="0065245A">
      <w:pPr>
        <w:spacing w:after="0" w:line="240" w:lineRule="auto"/>
        <w:rPr>
          <w:rFonts w:ascii="PT Sans" w:hAnsi="PT Sans" w:cs="Arial"/>
          <w:sz w:val="18"/>
        </w:rPr>
      </w:pPr>
    </w:p>
    <w:p w14:paraId="241208F6" w14:textId="33FFCE22" w:rsidR="007E6042" w:rsidRPr="00B660C0" w:rsidRDefault="0065245A" w:rsidP="00B660C0">
      <w:pPr>
        <w:spacing w:after="0" w:line="240" w:lineRule="auto"/>
        <w:rPr>
          <w:rFonts w:ascii="PT Sans" w:hAnsi="PT Sans" w:cs="Arial"/>
          <w:sz w:val="18"/>
        </w:rPr>
      </w:pPr>
      <w:r w:rsidRPr="00B660C0">
        <w:rPr>
          <w:rFonts w:ascii="PT Sans" w:hAnsi="PT Sans" w:cs="Arial"/>
          <w:sz w:val="18"/>
        </w:rPr>
        <w:t xml:space="preserve">Das Schwesterunternehmen Brink Systembau GmbH hat sich vor allem auf den Ausstellungsbetrieb spezialisiert. Es vertreibt u. a. modulare Messebausysteme, die von der Richard Brink GmbH &amp; Co. KG produziert werden. Hinzu kommen weitere Produkte wie LED-Lichtwände mit vollflächiger </w:t>
      </w:r>
      <w:proofErr w:type="spellStart"/>
      <w:r w:rsidRPr="00B660C0">
        <w:rPr>
          <w:rFonts w:ascii="PT Sans" w:hAnsi="PT Sans" w:cs="Arial"/>
          <w:sz w:val="18"/>
        </w:rPr>
        <w:t>Hinterleuchtung</w:t>
      </w:r>
      <w:proofErr w:type="spellEnd"/>
      <w:r w:rsidRPr="00B660C0">
        <w:rPr>
          <w:rFonts w:ascii="PT Sans" w:hAnsi="PT Sans" w:cs="Arial"/>
          <w:sz w:val="18"/>
        </w:rPr>
        <w:t xml:space="preserve"> oder Paketboxen als sicherer Ablageort für private sowie gewerbliche Warensendungen.</w:t>
      </w:r>
    </w:p>
    <w:sectPr w:rsidR="007E6042" w:rsidRPr="00B660C0"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6C17" w14:textId="77777777" w:rsidR="00A51124" w:rsidRDefault="00A51124" w:rsidP="002D5283">
      <w:pPr>
        <w:spacing w:after="0" w:line="240" w:lineRule="auto"/>
      </w:pPr>
      <w:r>
        <w:separator/>
      </w:r>
    </w:p>
  </w:endnote>
  <w:endnote w:type="continuationSeparator" w:id="0">
    <w:p w14:paraId="2258E56B" w14:textId="77777777" w:rsidR="00A51124" w:rsidRDefault="00A5112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15BB4A42" w:rsidR="00EE7ED8" w:rsidRDefault="00A51124">
    <w:pPr>
      <w:pStyle w:val="Fuzeile"/>
      <w:jc w:val="center"/>
    </w:pPr>
    <w:r>
      <w:rPr>
        <w:noProof/>
        <w:lang w:eastAsia="de-DE"/>
      </w:rPr>
      <w:pict w14:anchorId="4D1C8C7C">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18AD4C0" w14:textId="77777777" w:rsidR="0065245A" w:rsidRPr="00B660C0" w:rsidRDefault="0065245A" w:rsidP="0065245A">
                <w:pPr>
                  <w:spacing w:after="0" w:line="240" w:lineRule="auto"/>
                  <w:rPr>
                    <w:rFonts w:ascii="PT Sans" w:hAnsi="PT Sans"/>
                    <w:color w:val="808080"/>
                    <w:sz w:val="14"/>
                  </w:rPr>
                </w:pPr>
                <w:r w:rsidRPr="00B660C0">
                  <w:rPr>
                    <w:rFonts w:ascii="PT Sans" w:hAnsi="PT Sans"/>
                    <w:color w:val="808080"/>
                    <w:sz w:val="14"/>
                  </w:rPr>
                  <w:t xml:space="preserve">Herausgeber: </w:t>
                </w:r>
              </w:p>
              <w:p w14:paraId="2610B580" w14:textId="77777777" w:rsidR="0065245A" w:rsidRPr="00B660C0" w:rsidRDefault="0065245A" w:rsidP="0065245A">
                <w:pPr>
                  <w:pStyle w:val="berschrift1"/>
                  <w:spacing w:line="240" w:lineRule="auto"/>
                  <w:jc w:val="left"/>
                  <w:rPr>
                    <w:rFonts w:ascii="PT Sans" w:hAnsi="PT Sans"/>
                    <w:color w:val="D20A10"/>
                    <w:sz w:val="14"/>
                  </w:rPr>
                </w:pPr>
                <w:r w:rsidRPr="00B660C0">
                  <w:rPr>
                    <w:rFonts w:ascii="PT Sans" w:hAnsi="PT Sans"/>
                    <w:color w:val="D20A10"/>
                    <w:sz w:val="14"/>
                  </w:rPr>
                  <w:t>Richard Brink GmbH &amp; Co. KG</w:t>
                </w:r>
              </w:p>
              <w:p w14:paraId="6A0FAA9E" w14:textId="77777777" w:rsidR="0065245A" w:rsidRPr="00B660C0" w:rsidRDefault="0065245A" w:rsidP="0065245A">
                <w:pPr>
                  <w:spacing w:after="0" w:line="240" w:lineRule="auto"/>
                  <w:rPr>
                    <w:rFonts w:ascii="PT Sans" w:hAnsi="PT Sans"/>
                    <w:color w:val="808080"/>
                    <w:sz w:val="14"/>
                  </w:rPr>
                </w:pPr>
                <w:r w:rsidRPr="00B660C0">
                  <w:rPr>
                    <w:rFonts w:ascii="PT Sans" w:hAnsi="PT Sans"/>
                    <w:color w:val="808080"/>
                    <w:sz w:val="14"/>
                  </w:rPr>
                  <w:t>Görlitzer Straße 1</w:t>
                </w:r>
              </w:p>
              <w:p w14:paraId="7611554C" w14:textId="77777777" w:rsidR="0065245A" w:rsidRPr="00B660C0" w:rsidRDefault="0065245A" w:rsidP="0065245A">
                <w:pPr>
                  <w:spacing w:after="0" w:line="240" w:lineRule="auto"/>
                  <w:rPr>
                    <w:rFonts w:ascii="PT Sans" w:hAnsi="PT Sans"/>
                    <w:color w:val="808080"/>
                    <w:sz w:val="14"/>
                  </w:rPr>
                </w:pPr>
                <w:r w:rsidRPr="00B660C0">
                  <w:rPr>
                    <w:rFonts w:ascii="PT Sans" w:hAnsi="PT Sans"/>
                    <w:color w:val="808080"/>
                    <w:sz w:val="14"/>
                  </w:rPr>
                  <w:t xml:space="preserve">33758 </w:t>
                </w:r>
                <w:proofErr w:type="spellStart"/>
                <w:r w:rsidRPr="00B660C0">
                  <w:rPr>
                    <w:rFonts w:ascii="PT Sans" w:hAnsi="PT Sans"/>
                    <w:color w:val="808080"/>
                    <w:sz w:val="14"/>
                  </w:rPr>
                  <w:t>Schloß</w:t>
                </w:r>
                <w:proofErr w:type="spellEnd"/>
                <w:r w:rsidRPr="00B660C0">
                  <w:rPr>
                    <w:rFonts w:ascii="PT Sans" w:hAnsi="PT Sans"/>
                    <w:color w:val="808080"/>
                    <w:sz w:val="14"/>
                  </w:rPr>
                  <w:t xml:space="preserve"> Holte-Stukenbrock</w:t>
                </w:r>
              </w:p>
              <w:p w14:paraId="12024603" w14:textId="36E01E6D" w:rsidR="0065245A" w:rsidRPr="00B660C0" w:rsidRDefault="0065245A" w:rsidP="0065245A">
                <w:pPr>
                  <w:spacing w:after="0" w:line="240" w:lineRule="auto"/>
                  <w:rPr>
                    <w:rFonts w:ascii="PT Sans" w:hAnsi="PT Sans"/>
                    <w:color w:val="808080"/>
                    <w:sz w:val="14"/>
                  </w:rPr>
                </w:pPr>
                <w:r w:rsidRPr="00B660C0">
                  <w:rPr>
                    <w:rFonts w:ascii="PT Sans" w:hAnsi="PT Sans"/>
                    <w:color w:val="808080"/>
                    <w:sz w:val="14"/>
                  </w:rPr>
                  <w:t>Telefon:</w:t>
                </w:r>
                <w:r w:rsidRPr="00B660C0">
                  <w:rPr>
                    <w:rFonts w:ascii="PT Sans" w:hAnsi="PT Sans"/>
                    <w:color w:val="808080"/>
                    <w:sz w:val="14"/>
                  </w:rPr>
                  <w:tab/>
                  <w:t>+49 (0)5207 9504-0</w:t>
                </w:r>
              </w:p>
              <w:p w14:paraId="7C44AF3D" w14:textId="4EFC07E0" w:rsidR="0065245A" w:rsidRPr="00B660C0" w:rsidRDefault="0065245A" w:rsidP="0065245A">
                <w:pPr>
                  <w:spacing w:after="0" w:line="240" w:lineRule="auto"/>
                  <w:rPr>
                    <w:rFonts w:ascii="PT Sans" w:hAnsi="PT Sans"/>
                    <w:color w:val="808080"/>
                    <w:sz w:val="14"/>
                  </w:rPr>
                </w:pPr>
                <w:r w:rsidRPr="00B660C0">
                  <w:rPr>
                    <w:rFonts w:ascii="PT Sans" w:hAnsi="PT Sans"/>
                    <w:color w:val="808080"/>
                    <w:sz w:val="14"/>
                  </w:rPr>
                  <w:t>Telefax:</w:t>
                </w:r>
                <w:r w:rsidRPr="00B660C0">
                  <w:rPr>
                    <w:rFonts w:ascii="PT Sans" w:hAnsi="PT Sans"/>
                    <w:color w:val="808080"/>
                    <w:sz w:val="14"/>
                  </w:rPr>
                  <w:tab/>
                  <w:t>+49 (0)5207 9504-20</w:t>
                </w:r>
              </w:p>
              <w:p w14:paraId="7203A24E" w14:textId="09705E58" w:rsidR="0065245A" w:rsidRPr="00B660C0" w:rsidRDefault="0065245A" w:rsidP="0065245A">
                <w:pPr>
                  <w:spacing w:after="0" w:line="240" w:lineRule="auto"/>
                  <w:rPr>
                    <w:rFonts w:ascii="PT Sans" w:hAnsi="PT Sans"/>
                    <w:color w:val="808080"/>
                    <w:sz w:val="14"/>
                  </w:rPr>
                </w:pPr>
                <w:r w:rsidRPr="00B660C0">
                  <w:rPr>
                    <w:rFonts w:ascii="PT Sans" w:hAnsi="PT Sans"/>
                    <w:color w:val="808080"/>
                    <w:sz w:val="14"/>
                  </w:rPr>
                  <w:t>www.richard-brink.de</w:t>
                </w:r>
              </w:p>
              <w:p w14:paraId="107680CD" w14:textId="77777777" w:rsidR="0065245A" w:rsidRPr="00B660C0" w:rsidRDefault="0065245A" w:rsidP="0065245A">
                <w:pPr>
                  <w:spacing w:after="0" w:line="240" w:lineRule="auto"/>
                  <w:rPr>
                    <w:rFonts w:ascii="PT Sans" w:hAnsi="PT Sans"/>
                    <w:color w:val="808080"/>
                    <w:sz w:val="14"/>
                  </w:rPr>
                </w:pPr>
                <w:r w:rsidRPr="00B660C0">
                  <w:rPr>
                    <w:rFonts w:ascii="PT Sans" w:hAnsi="PT Sans"/>
                    <w:color w:val="808080"/>
                    <w:sz w:val="14"/>
                  </w:rPr>
                  <w:t>E-Mail: stefan.brink@richard-brink.de</w:t>
                </w:r>
              </w:p>
              <w:p w14:paraId="2D37F2B2" w14:textId="77777777" w:rsidR="0065245A" w:rsidRPr="00B660C0" w:rsidRDefault="0065245A" w:rsidP="0065245A">
                <w:pPr>
                  <w:spacing w:after="0" w:line="240" w:lineRule="auto"/>
                  <w:rPr>
                    <w:rFonts w:ascii="PT Sans" w:hAnsi="PT Sans"/>
                    <w:color w:val="808080"/>
                    <w:sz w:val="14"/>
                  </w:rPr>
                </w:pPr>
              </w:p>
              <w:p w14:paraId="56664F4F" w14:textId="77777777" w:rsidR="0065245A" w:rsidRPr="00B660C0" w:rsidRDefault="0065245A" w:rsidP="0065245A">
                <w:pPr>
                  <w:spacing w:after="0" w:line="240" w:lineRule="auto"/>
                  <w:rPr>
                    <w:rFonts w:ascii="PT Sans" w:hAnsi="PT Sans"/>
                    <w:b/>
                    <w:color w:val="D20A10"/>
                    <w:sz w:val="14"/>
                  </w:rPr>
                </w:pPr>
                <w:r w:rsidRPr="00B660C0">
                  <w:rPr>
                    <w:rFonts w:ascii="PT Sans" w:hAnsi="PT Sans"/>
                    <w:b/>
                    <w:color w:val="D20A10"/>
                    <w:sz w:val="14"/>
                  </w:rPr>
                  <w:t>Ansprechpartner Redaktion:</w:t>
                </w:r>
              </w:p>
              <w:p w14:paraId="2DFD6FD4" w14:textId="77777777" w:rsidR="0065245A" w:rsidRPr="00B660C0" w:rsidRDefault="0065245A" w:rsidP="0065245A">
                <w:pPr>
                  <w:pStyle w:val="Textkrper"/>
                  <w:rPr>
                    <w:rFonts w:ascii="PT Sans" w:hAnsi="PT Sans"/>
                    <w:color w:val="808080"/>
                    <w:sz w:val="14"/>
                    <w:lang w:val="it-IT"/>
                  </w:rPr>
                </w:pPr>
                <w:r w:rsidRPr="00B660C0">
                  <w:rPr>
                    <w:rFonts w:ascii="PT Sans" w:hAnsi="PT Sans"/>
                    <w:color w:val="808080"/>
                    <w:sz w:val="14"/>
                    <w:lang w:val="it-IT"/>
                  </w:rPr>
                  <w:t>Daniel Spitzer</w:t>
                </w:r>
              </w:p>
              <w:p w14:paraId="6EB7E198" w14:textId="77777777" w:rsidR="0065245A" w:rsidRPr="00B660C0" w:rsidRDefault="0065245A" w:rsidP="0065245A">
                <w:pPr>
                  <w:pStyle w:val="Textkrper"/>
                  <w:rPr>
                    <w:rFonts w:ascii="PT Sans" w:hAnsi="PT Sans"/>
                    <w:color w:val="808080"/>
                    <w:sz w:val="14"/>
                    <w:lang w:val="it-IT"/>
                  </w:rPr>
                </w:pPr>
                <w:proofErr w:type="spellStart"/>
                <w:r w:rsidRPr="00B660C0">
                  <w:rPr>
                    <w:rFonts w:ascii="PT Sans" w:hAnsi="PT Sans"/>
                    <w:color w:val="808080"/>
                    <w:sz w:val="14"/>
                    <w:lang w:val="it-IT"/>
                  </w:rPr>
                  <w:t>stellv</w:t>
                </w:r>
                <w:proofErr w:type="spellEnd"/>
                <w:r w:rsidRPr="00B660C0">
                  <w:rPr>
                    <w:rFonts w:ascii="PT Sans" w:hAnsi="PT Sans"/>
                    <w:color w:val="808080"/>
                    <w:sz w:val="14"/>
                    <w:lang w:val="it-IT"/>
                  </w:rPr>
                  <w:t xml:space="preserve">. </w:t>
                </w:r>
                <w:proofErr w:type="spellStart"/>
                <w:r w:rsidRPr="00B660C0">
                  <w:rPr>
                    <w:rFonts w:ascii="PT Sans" w:hAnsi="PT Sans"/>
                    <w:color w:val="808080"/>
                    <w:sz w:val="14"/>
                    <w:lang w:val="it-IT"/>
                  </w:rPr>
                  <w:t>Marketingleiter</w:t>
                </w:r>
                <w:proofErr w:type="spellEnd"/>
              </w:p>
              <w:p w14:paraId="1F566C4C" w14:textId="77777777" w:rsidR="0065245A" w:rsidRPr="00B660C0" w:rsidRDefault="0065245A" w:rsidP="0065245A">
                <w:pPr>
                  <w:pStyle w:val="Textkrper"/>
                  <w:rPr>
                    <w:rFonts w:ascii="PT Sans" w:hAnsi="PT Sans"/>
                    <w:color w:val="808080"/>
                    <w:sz w:val="14"/>
                    <w:lang w:val="it-IT"/>
                  </w:rPr>
                </w:pPr>
                <w:r w:rsidRPr="00B660C0">
                  <w:rPr>
                    <w:rFonts w:ascii="PT Sans" w:hAnsi="PT Sans"/>
                    <w:color w:val="808080"/>
                    <w:sz w:val="14"/>
                    <w:lang w:val="it-IT"/>
                  </w:rPr>
                  <w:t>daniel.spitzer@richard-brink.de</w:t>
                </w:r>
              </w:p>
              <w:p w14:paraId="51855EA0" w14:textId="77777777" w:rsidR="0065245A" w:rsidRPr="00B660C0" w:rsidRDefault="0065245A" w:rsidP="0065245A">
                <w:pPr>
                  <w:pStyle w:val="berschrift3"/>
                  <w:tabs>
                    <w:tab w:val="left" w:pos="567"/>
                  </w:tabs>
                  <w:rPr>
                    <w:rFonts w:ascii="PT Sans" w:hAnsi="PT Sans"/>
                    <w:color w:val="808080"/>
                    <w:sz w:val="14"/>
                    <w:szCs w:val="14"/>
                    <w:lang w:val="it-IT"/>
                  </w:rPr>
                </w:pPr>
              </w:p>
              <w:p w14:paraId="048BF0C0" w14:textId="77777777" w:rsidR="0065245A" w:rsidRPr="00B660C0" w:rsidRDefault="0065245A" w:rsidP="0065245A">
                <w:pPr>
                  <w:pStyle w:val="berschrift3"/>
                  <w:tabs>
                    <w:tab w:val="left" w:pos="567"/>
                  </w:tabs>
                  <w:rPr>
                    <w:rFonts w:ascii="PT Sans" w:hAnsi="PT Sans"/>
                    <w:color w:val="808080"/>
                    <w:sz w:val="14"/>
                    <w:szCs w:val="14"/>
                  </w:rPr>
                </w:pPr>
                <w:r w:rsidRPr="00B660C0">
                  <w:rPr>
                    <w:rFonts w:ascii="PT Sans" w:hAnsi="PT Sans"/>
                    <w:color w:val="808080"/>
                    <w:sz w:val="14"/>
                    <w:szCs w:val="14"/>
                  </w:rPr>
                  <w:t>Abdruck frei – Beleg erbeten</w:t>
                </w:r>
              </w:p>
              <w:p w14:paraId="079FBA50" w14:textId="77777777" w:rsidR="0065245A" w:rsidRDefault="0065245A" w:rsidP="0065245A">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07F9" w14:textId="77777777" w:rsidR="00A51124" w:rsidRDefault="00A51124" w:rsidP="002D5283">
      <w:pPr>
        <w:spacing w:after="0" w:line="240" w:lineRule="auto"/>
      </w:pPr>
      <w:r>
        <w:separator/>
      </w:r>
    </w:p>
  </w:footnote>
  <w:footnote w:type="continuationSeparator" w:id="0">
    <w:p w14:paraId="4B58D617" w14:textId="77777777" w:rsidR="00A51124" w:rsidRDefault="00A5112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A51124">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605BC307" w:rsidR="00EE7ED8" w:rsidRDefault="00115307">
                <w:r>
                  <w:rPr>
                    <w:noProof/>
                    <w:lang w:eastAsia="de-DE"/>
                  </w:rPr>
                  <w:drawing>
                    <wp:inline distT="0" distB="0" distL="0" distR="0" wp14:anchorId="513F5FC5" wp14:editId="7F5219EB">
                      <wp:extent cx="1146710" cy="1146710"/>
                      <wp:effectExtent l="0" t="0" r="0" b="0"/>
                      <wp:docPr id="163948045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80459"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B05719C" w:rsidR="00EE7ED8" w:rsidRPr="00B660C0" w:rsidRDefault="00B660C0" w:rsidP="00B660C0">
    <w:pPr>
      <w:pStyle w:val="Kopfzeile"/>
      <w:rPr>
        <w:rFonts w:ascii="PT Sans" w:hAnsi="PT Sans"/>
        <w:color w:val="808080"/>
        <w:sz w:val="52"/>
        <w:szCs w:val="52"/>
      </w:rPr>
    </w:pPr>
    <w:r w:rsidRPr="001334FF">
      <w:rPr>
        <w:rFonts w:ascii="PT Sans" w:hAnsi="PT Sans"/>
        <w:color w:val="808080"/>
        <w:sz w:val="52"/>
        <w:szCs w:val="52"/>
      </w:rPr>
      <w:t>Produktinformation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0BD7"/>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0FD7"/>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2CB3"/>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2D63"/>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0EE0"/>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24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1E45"/>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B6B0D"/>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695"/>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38C0"/>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124"/>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3987"/>
    <w:rsid w:val="00AE4099"/>
    <w:rsid w:val="00AE5801"/>
    <w:rsid w:val="00AE7194"/>
    <w:rsid w:val="00AF047D"/>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60C0"/>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3F6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57A2"/>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2B2B"/>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0F70"/>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907"/>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3791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321</cp:revision>
  <cp:lastPrinted>2020-02-05T14:19:00Z</cp:lastPrinted>
  <dcterms:created xsi:type="dcterms:W3CDTF">2017-07-10T11:03:00Z</dcterms:created>
  <dcterms:modified xsi:type="dcterms:W3CDTF">2024-07-03T14:56:00Z</dcterms:modified>
</cp:coreProperties>
</file>