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1B7EA4" w14:paraId="377360F5" w14:textId="77777777" w:rsidTr="00EA48C2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Foto</w:t>
            </w:r>
          </w:p>
        </w:tc>
        <w:tc>
          <w:tcPr>
            <w:tcW w:w="2977" w:type="dxa"/>
          </w:tcPr>
          <w:p w14:paraId="2AC56920" w14:textId="77777777" w:rsidR="0097530E" w:rsidRPr="001B7EA4" w:rsidRDefault="0097530E">
            <w:pPr>
              <w:rPr>
                <w:b/>
                <w:bCs/>
                <w:rFonts w:cs="Arial"/>
              </w:rPr>
            </w:pPr>
            <w:r>
              <w:rPr>
                <w:b/>
              </w:rPr>
              <w:t xml:space="preserve">Bestandnaam</w:t>
            </w:r>
          </w:p>
        </w:tc>
        <w:tc>
          <w:tcPr>
            <w:tcW w:w="3672" w:type="dxa"/>
          </w:tcPr>
          <w:p w14:paraId="725EBC86" w14:textId="77777777" w:rsidR="0097530E" w:rsidRPr="001B7EA4" w:rsidRDefault="0097530E">
            <w:pPr>
              <w:rPr>
                <w:b/>
                <w:bCs/>
                <w:rFonts w:cs="Arial"/>
              </w:rPr>
            </w:pPr>
            <w:r>
              <w:rPr>
                <w:b/>
              </w:rPr>
              <w:t xml:space="preserve">Bijschrift</w:t>
            </w:r>
          </w:p>
        </w:tc>
      </w:tr>
      <w:tr w:rsidR="00D96EF3" w:rsidRPr="00627B7A" w14:paraId="4A7B1A10" w14:textId="77777777" w:rsidTr="00EA48C2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0DBD630A" w:rsidR="0071666D" w:rsidRPr="001B7EA4" w:rsidRDefault="0051422F" w:rsidP="00D96EF3">
            <w:pPr>
              <w:rPr>
                <w:rFonts w:cs="Arial"/>
              </w:rPr>
            </w:pPr>
            <w:r>
              <w:pict w14:anchorId="5E3289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i1029" type="#_x0000_t75" alt="" style="width:134.55pt;height:98.3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0D1A8DDB" w14:textId="43D796F0" w:rsidR="00E5510F" w:rsidRDefault="00B14E52" w:rsidP="00E5510F">
            <w:pPr>
              <w:rPr>
                <w:szCs w:val="22"/>
                <w:rFonts w:cs="Arial"/>
              </w:rPr>
            </w:pPr>
            <w:r>
              <w:t xml:space="preserve">RichardBrink_DUKEP_01</w:t>
            </w: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815DD2" w:rsidRPr="009E2D53" w:rsidRDefault="00815DD2" w:rsidP="009E2D53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14306028" w:rsidR="004373D2" w:rsidRDefault="00B14E52" w:rsidP="00D96EF3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De nieuwe roestvrijstalen wigprofielen voor douchegoten van de firma Richard Brink zorgen voor een optisch aantrekkelijke en versterkte overgang tussen de opgebouwde, aflopende dekvloer en de horizontale betegeling rondom bij inloopdouches.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r>
              <w:t xml:space="preserve">Foto:</w:t>
            </w:r>
            <w:r>
              <w:t xml:space="preserve"> </w:t>
            </w:r>
            <w:r>
              <w:t xml:space="preserve">Richard Brink GmbH &amp; Co. KG</w:t>
            </w:r>
          </w:p>
          <w:p w14:paraId="1277C383" w14:textId="77777777" w:rsidR="00EA48C2" w:rsidRDefault="00EA48C2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EA48C2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41AB4975" w:rsidR="004B1CF3" w:rsidRPr="001B7EA4" w:rsidRDefault="0051422F">
            <w:pPr>
              <w:rPr>
                <w:rFonts w:cs="Arial"/>
              </w:rPr>
            </w:pPr>
            <w:r>
              <w:pict w14:anchorId="7034066C">
                <v:shape id="Grafik 8" o:spid="_x0000_i1028" type="#_x0000_t75" alt="" style="width:135.05pt;height:117.7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cs="Arial"/>
              </w:rPr>
            </w:pPr>
          </w:p>
          <w:p w14:paraId="725E8D45" w14:textId="6ECCA94A" w:rsidR="00DD25F0" w:rsidRPr="00DD25F0" w:rsidRDefault="00B14E52" w:rsidP="00DD25F0">
            <w:pPr>
              <w:rPr>
                <w:szCs w:val="22"/>
                <w:rFonts w:cs="Arial"/>
              </w:rPr>
            </w:pPr>
            <w:r>
              <w:t xml:space="preserve">RichardBrink_DUKEP_02</w:t>
            </w:r>
          </w:p>
          <w:p w14:paraId="37727192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492EA31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7BFAB04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1639E1EB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261C5ECA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5E7B9F18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98831E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3D5F18B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CA4199E" w14:textId="3BB52CD4" w:rsidR="00DD25F0" w:rsidRPr="00DD25F0" w:rsidRDefault="00DD25F0" w:rsidP="00DD25F0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23E4FB35" w:rsidR="00E5510F" w:rsidRDefault="00B14E52" w:rsidP="00094E56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  <w:rFonts w:cs="Arial"/>
              </w:rPr>
            </w:pPr>
            <w:r>
              <w:t xml:space="preserve">Verder biedt de metaalwarenfabrikant profielen voor het vasthouden van glazen wanden met een dikte van maximaal 12 mm aan.</w:t>
            </w:r>
            <w:r>
              <w:t xml:space="preserve"> 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r>
              <w:t xml:space="preserve">Foto:</w:t>
            </w:r>
            <w:r>
              <w:t xml:space="preserve"> </w:t>
            </w:r>
            <w:r>
              <w:t xml:space="preserve">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64B6A8A6" w14:textId="77777777" w:rsidTr="00EA48C2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55048EAA" w:rsidR="00972C40" w:rsidRPr="001B7EA4" w:rsidRDefault="0051422F" w:rsidP="00B45B0C">
            <w:pPr>
              <w:rPr>
                <w:rFonts w:cs="Arial"/>
              </w:rPr>
            </w:pPr>
            <w:r>
              <w:pict w14:anchorId="4C053DAF">
                <v:shape id="Grafik 9" o:spid="_x0000_i1027" type="#_x0000_t75" alt="" style="width:134.55pt;height:93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cs="Arial"/>
              </w:rPr>
            </w:pPr>
          </w:p>
          <w:p w14:paraId="07315D91" w14:textId="55A9E9BE" w:rsidR="00972C40" w:rsidRPr="00972C40" w:rsidRDefault="00B14E52" w:rsidP="00B45B0C">
            <w:pPr>
              <w:rPr>
                <w:szCs w:val="22"/>
                <w:rFonts w:cs="Arial"/>
              </w:rPr>
            </w:pPr>
            <w:r>
              <w:t xml:space="preserve">RichardBrink_DUKEP_03</w:t>
            </w:r>
          </w:p>
        </w:tc>
        <w:tc>
          <w:tcPr>
            <w:tcW w:w="3672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A96AC5" w14:textId="51902307" w:rsidR="00E62CCC" w:rsidRDefault="00B14E52" w:rsidP="00B45B0C">
            <w:pPr>
              <w:pStyle w:val="Kopfzeile"/>
              <w:rPr>
                <w:szCs w:val="22"/>
                <w:rFonts w:cs="Arial"/>
              </w:rPr>
            </w:pPr>
            <w:r>
              <w:t xml:space="preserve">Voor het vasthouden van glas bij de wand omvat het assortiment aanvullende productvarianten die samen met de bijpassende vloerprofielen als complete set kunnen worden geleverd.</w:t>
            </w:r>
            <w:r>
              <w:t xml:space="preserve"> </w:t>
            </w:r>
            <w:r>
              <w:t xml:space="preserve">Zo kunnen de glazen elementen zowel horizontaal als verticaal veilig worden verankerd.</w:t>
            </w:r>
            <w:r>
              <w:t xml:space="preserve"> </w:t>
            </w:r>
          </w:p>
          <w:p w14:paraId="6CF14D36" w14:textId="77777777" w:rsidR="001158CB" w:rsidRPr="001B7EA4" w:rsidRDefault="001158CB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Richard Brink GmbH &amp; Co. 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72EE9887" w14:textId="77777777" w:rsidTr="00EA48C2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3C43F4E9" w:rsidR="00972C40" w:rsidRPr="001B7EA4" w:rsidRDefault="0051422F" w:rsidP="00B45B0C">
            <w:pPr>
              <w:rPr>
                <w:rFonts w:cs="Arial"/>
              </w:rPr>
            </w:pPr>
            <w:r>
              <w:pict w14:anchorId="43243ED0">
                <v:shape id="Grafik 1" o:spid="_x0000_i1026" type="#_x0000_t75" alt="" style="width:135.05pt;height:96.7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585840A6" w14:textId="68D3CAB5" w:rsidR="00D97348" w:rsidRPr="00D97348" w:rsidRDefault="00B14E52" w:rsidP="00D97348">
            <w:pPr>
              <w:rPr>
                <w:szCs w:val="22"/>
                <w:rFonts w:cs="Arial"/>
              </w:rPr>
            </w:pPr>
            <w:r>
              <w:t xml:space="preserve">RichardBrink_DUKEP_04</w:t>
            </w:r>
          </w:p>
          <w:p w14:paraId="5720C14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02878C06" w14:textId="77777777" w:rsidR="00D97348" w:rsidRDefault="00D97348" w:rsidP="00D97348">
            <w:pPr>
              <w:rPr>
                <w:rFonts w:cs="Arial"/>
              </w:rPr>
            </w:pPr>
          </w:p>
          <w:p w14:paraId="757EAC3F" w14:textId="77777777" w:rsidR="00D97348" w:rsidRDefault="00D97348" w:rsidP="00D97348">
            <w:pPr>
              <w:rPr>
                <w:rFonts w:cs="Arial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D4CAE6A" w14:textId="5CC99B25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2AEB465" w14:textId="62E56D8D" w:rsidR="001158CB" w:rsidRDefault="00B14E52" w:rsidP="001158CB">
            <w:pPr>
              <w:pStyle w:val="Kopfzeile"/>
              <w:rPr>
                <w:bCs/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Bijpassende afsluitprofielen voor het uiteinde van de wand maken het aanbod van de firma Richard Brink compleet.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Default="00972C40" w:rsidP="00B45B0C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Richard Brink GmbH &amp; Co. KG</w:t>
            </w:r>
          </w:p>
          <w:p w14:paraId="3D2D409F" w14:textId="77777777" w:rsidR="009C7905" w:rsidRPr="00627B7A" w:rsidRDefault="009C7905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1158CB" w:rsidRPr="00627B7A" w14:paraId="6C6C3DCD" w14:textId="77777777" w:rsidTr="00EA48C2">
        <w:trPr>
          <w:trHeight w:val="2821"/>
        </w:trPr>
        <w:tc>
          <w:tcPr>
            <w:tcW w:w="2835" w:type="dxa"/>
          </w:tcPr>
          <w:p w14:paraId="33CF46F3" w14:textId="77777777" w:rsidR="001158CB" w:rsidRPr="00627B7A" w:rsidRDefault="001158CB" w:rsidP="00A60DB7">
            <w:pPr>
              <w:rPr>
                <w:rFonts w:cs="Arial"/>
                <w:lang w:val="en-US"/>
              </w:rPr>
            </w:pPr>
          </w:p>
          <w:p w14:paraId="31E1A082" w14:textId="4A4438E1" w:rsidR="001158CB" w:rsidRPr="001B7EA4" w:rsidRDefault="0051422F" w:rsidP="00A60DB7">
            <w:pPr>
              <w:rPr>
                <w:rFonts w:cs="Arial"/>
              </w:rPr>
            </w:pPr>
            <w:r>
              <w:pict w14:anchorId="2B9C9862">
                <v:shape id="Grafik 11" o:spid="_x0000_i1025" type="#_x0000_t75" alt="" style="width:135.05pt;height:89.8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0ED97389" w14:textId="77777777" w:rsidR="00DD25F0" w:rsidRDefault="00DD25F0" w:rsidP="00A60DB7">
            <w:pPr>
              <w:rPr>
                <w:rFonts w:cs="Arial"/>
              </w:rPr>
            </w:pPr>
          </w:p>
          <w:p w14:paraId="6048581F" w14:textId="7EA92EAB" w:rsidR="001158CB" w:rsidRPr="00972C40" w:rsidRDefault="00B14E52" w:rsidP="00A60DB7">
            <w:pPr>
              <w:rPr>
                <w:szCs w:val="22"/>
                <w:rFonts w:cs="Arial"/>
              </w:rPr>
            </w:pPr>
            <w:r>
              <w:t xml:space="preserve">RichardBrink_DUKEP_05</w:t>
            </w:r>
          </w:p>
        </w:tc>
        <w:tc>
          <w:tcPr>
            <w:tcW w:w="3672" w:type="dxa"/>
          </w:tcPr>
          <w:p w14:paraId="52698689" w14:textId="77777777" w:rsidR="001158CB" w:rsidRPr="001B7EA4" w:rsidRDefault="001158CB" w:rsidP="00A60DB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E716110" w14:textId="04810573" w:rsidR="001158CB" w:rsidRDefault="00B14E52" w:rsidP="001158CB">
            <w:pPr>
              <w:pStyle w:val="Kopfzeile"/>
              <w:rPr>
                <w:bCs/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De afsluitprofielen zorgen met het roestvrij staal rondom voor een uniforme look en vormen zo de perfecte aanvulling op de hellingswiggen.</w:t>
            </w:r>
          </w:p>
          <w:p w14:paraId="02A077C5" w14:textId="77777777" w:rsidR="001158CB" w:rsidRPr="001B7EA4" w:rsidRDefault="001158CB" w:rsidP="00A60DB7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11F68E0" w14:textId="77777777" w:rsidR="001158CB" w:rsidRDefault="001158CB" w:rsidP="00A60DB7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Richard Brink GmbH &amp; Co. KG</w:t>
            </w:r>
          </w:p>
          <w:p w14:paraId="11AC670E" w14:textId="77777777" w:rsidR="001158CB" w:rsidRPr="00627B7A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0D074EF1" w14:textId="77777777" w:rsidR="001158CB" w:rsidRPr="00627B7A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DDD3" w14:textId="77777777" w:rsidR="0051422F" w:rsidRDefault="0051422F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B1988E2" w14:textId="77777777" w:rsidR="0051422F" w:rsidRDefault="0051422F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CBF5" w14:textId="77777777" w:rsidR="0051422F" w:rsidRDefault="0051422F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5627D27" w14:textId="77777777" w:rsidR="0051422F" w:rsidRDefault="0051422F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51422F">
    <w:pPr>
      <w:pStyle w:val="Kopfzeile"/>
      <w:rPr>
        <w:sz w:val="52"/>
        <w:rFonts w:ascii="Frutiger 45 Light" w:hAnsi="Frutiger 45 Light"/>
      </w:rPr>
    </w:pPr>
    <w:r>
      <w:rPr>
        <w:sz w:val="52"/>
        <w:rFonts w:ascii="Frutiger 45 Light" w:hAnsi="Frutiger 45 Light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7.45pt;height:95.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5E1113D3" w:rsidR="001A0265" w:rsidRDefault="0051422F" w:rsidP="00816A23">
                <w:r>
                  <w:pict w14:anchorId="155BE58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30" type="#_x0000_t75" alt="" style="width:93pt;height:88.3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51422F">
    <w:pPr>
      <w:pStyle w:val="Kopfzeile"/>
      <w:rPr>
        <w:color w:val="808080"/>
        <w:sz w:val="52"/>
      </w:rPr>
    </w:pPr>
    <w:r>
      <w:rPr>
        <w:sz w:val="20"/>
        <w:rFonts w:ascii="Frutiger 45 Light" w:hAnsi="Frutiger 45 Light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 xml:space="preserve">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dirty" w:grammar="dirty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Daniel Spitzer</cp:lastModifiedBy>
  <cp:revision>33</cp:revision>
  <cp:lastPrinted>2020-02-06T07:50:00Z</cp:lastPrinted>
  <dcterms:created xsi:type="dcterms:W3CDTF">2022-06-10T10:32:00Z</dcterms:created>
  <dcterms:modified xsi:type="dcterms:W3CDTF">2024-03-13T14:12:00Z</dcterms:modified>
</cp:coreProperties>
</file>