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DF8CC" w14:textId="77777777" w:rsidR="009E76AC" w:rsidRPr="00C3258E" w:rsidRDefault="0088361A" w:rsidP="009E76AC">
      <w:pPr>
        <w:rPr>
          <w:rFonts w:cs="Arial"/>
          <w:b/>
          <w:sz w:val="28"/>
          <w:szCs w:val="28"/>
        </w:rPr>
      </w:pPr>
      <w:r>
        <w:rPr>
          <w:rFonts w:eastAsia="Arial" w:cs="Arial"/>
          <w:b/>
          <w:bCs/>
          <w:sz w:val="28"/>
          <w:szCs w:val="28"/>
          <w:lang w:val="fr-FR"/>
        </w:rPr>
        <w:t>La toiture verte a rendez-vous avec le photovoltaïque</w:t>
      </w:r>
    </w:p>
    <w:p w14:paraId="0E6E88BF" w14:textId="77777777" w:rsidR="000F6C3F" w:rsidRDefault="0088361A" w:rsidP="009E76AC">
      <w:pPr>
        <w:rPr>
          <w:rFonts w:cs="Arial"/>
          <w:b/>
          <w:sz w:val="28"/>
          <w:szCs w:val="28"/>
        </w:rPr>
      </w:pPr>
      <w:r>
        <w:rPr>
          <w:rFonts w:eastAsia="Arial" w:cs="Arial"/>
          <w:b/>
          <w:bCs/>
          <w:sz w:val="28"/>
          <w:szCs w:val="28"/>
          <w:lang w:val="fr-FR"/>
        </w:rPr>
        <w:t xml:space="preserve">La société Richard Brink a profité du salon « Intersolar Europe » pour présenter ses structures porteuses </w:t>
      </w:r>
      <w:r>
        <w:rPr>
          <w:rFonts w:eastAsia="Arial" w:cs="Arial"/>
          <w:b/>
          <w:bCs/>
          <w:sz w:val="28"/>
          <w:szCs w:val="28"/>
          <w:lang w:val="fr-FR"/>
        </w:rPr>
        <w:t>polyvalentes pour installations solaires.</w:t>
      </w:r>
    </w:p>
    <w:p w14:paraId="4180CAAC" w14:textId="345D9FD9" w:rsidR="000C2C6B" w:rsidRDefault="0088361A" w:rsidP="009E76AC">
      <w:pPr>
        <w:spacing w:line="360" w:lineRule="auto"/>
        <w:rPr>
          <w:rFonts w:cs="Arial"/>
          <w:b/>
          <w:sz w:val="24"/>
          <w:szCs w:val="24"/>
        </w:rPr>
      </w:pPr>
      <w:r>
        <w:rPr>
          <w:rFonts w:eastAsia="Arial" w:cs="Arial"/>
          <w:b/>
          <w:bCs/>
          <w:sz w:val="28"/>
          <w:szCs w:val="28"/>
          <w:lang w:val="fr-FR"/>
        </w:rPr>
        <w:br/>
      </w:r>
      <w:r>
        <w:rPr>
          <w:rFonts w:eastAsia="Arial" w:cs="Arial"/>
          <w:b/>
          <w:bCs/>
          <w:color w:val="000000"/>
          <w:sz w:val="24"/>
          <w:szCs w:val="24"/>
          <w:lang w:val="fr-FR"/>
        </w:rPr>
        <w:t>Munich, le 26.06.2023. « The smarter E Europe » réunit quat</w:t>
      </w:r>
      <w:r>
        <w:rPr>
          <w:rFonts w:eastAsia="Arial" w:cs="Arial"/>
          <w:b/>
          <w:bCs/>
          <w:color w:val="000000"/>
          <w:sz w:val="24"/>
          <w:szCs w:val="24"/>
          <w:lang w:val="fr-FR"/>
        </w:rPr>
        <w:t>re salons individuels sous un même toit. Richard Brink a exposé</w:t>
      </w:r>
      <w:r>
        <w:rPr>
          <w:rFonts w:eastAsia="Arial" w:cs="Arial"/>
          <w:b/>
          <w:bCs/>
          <w:color w:val="000000"/>
          <w:sz w:val="24"/>
          <w:szCs w:val="24"/>
          <w:lang w:val="fr-FR"/>
        </w:rPr>
        <w:t xml:space="preserve"> ses structures porteuses pour installations solaires dans le cadre de « Intersolar Europe » qui s’est tenu en juin à Munich. Les visiteurs professionnels ont, en particulier, montré un vif i</w:t>
      </w:r>
      <w:r>
        <w:rPr>
          <w:rFonts w:eastAsia="Arial" w:cs="Arial"/>
          <w:b/>
          <w:bCs/>
          <w:color w:val="000000"/>
          <w:sz w:val="24"/>
          <w:szCs w:val="24"/>
          <w:lang w:val="fr-FR"/>
        </w:rPr>
        <w:t>ntérêt pour deux systèmes qui associent la végétalisation des toits et le photovoltaïque. Ils sont la parfaite illustration de l’importance de ces deux approches pour une utilisation durable des toitures.</w:t>
      </w:r>
    </w:p>
    <w:p w14:paraId="04EC06AC" w14:textId="77777777" w:rsidR="006267A0" w:rsidRDefault="0088361A" w:rsidP="00E1170B">
      <w:pPr>
        <w:spacing w:line="360" w:lineRule="auto"/>
        <w:rPr>
          <w:rFonts w:cs="Arial"/>
          <w:bCs/>
          <w:sz w:val="24"/>
          <w:szCs w:val="24"/>
        </w:rPr>
      </w:pPr>
      <w:r>
        <w:rPr>
          <w:rFonts w:eastAsia="Arial" w:cs="Arial"/>
          <w:bCs/>
          <w:sz w:val="24"/>
          <w:szCs w:val="24"/>
          <w:lang w:val="fr-FR"/>
        </w:rPr>
        <w:t>« The smarter E Europe » 2023 s’est déroulé à Munich en juin et ses organisateurs peuvent se targuer d’un bilan record : 2469 exposants venus de 57 pays et plus de 106 000 visiteurs de 166 nationalités. Les conditions étaient donc</w:t>
      </w:r>
      <w:r>
        <w:rPr>
          <w:rFonts w:eastAsia="Arial" w:cs="Arial"/>
          <w:bCs/>
          <w:sz w:val="24"/>
          <w:szCs w:val="24"/>
          <w:lang w:val="fr-FR"/>
        </w:rPr>
        <w:t xml:space="preserve"> idéales pour une édition diversifiée de la plus grande plateforme européenne de l’innovation du marché de l’énergie.</w:t>
      </w:r>
    </w:p>
    <w:p w14:paraId="6DC8B452" w14:textId="77777777" w:rsidR="006267A0" w:rsidRPr="006267A0" w:rsidRDefault="0088361A" w:rsidP="00E1170B">
      <w:pPr>
        <w:spacing w:line="360" w:lineRule="auto"/>
        <w:rPr>
          <w:rFonts w:cs="Arial"/>
          <w:b/>
          <w:sz w:val="24"/>
          <w:szCs w:val="24"/>
        </w:rPr>
      </w:pPr>
      <w:r>
        <w:rPr>
          <w:rFonts w:eastAsia="Arial" w:cs="Arial"/>
          <w:b/>
          <w:bCs/>
          <w:sz w:val="24"/>
          <w:szCs w:val="24"/>
          <w:lang w:val="fr-FR"/>
        </w:rPr>
        <w:t>Plus de flexibilité pour tous les systèmes</w:t>
      </w:r>
    </w:p>
    <w:p w14:paraId="47BAA4B3" w14:textId="105E58FC" w:rsidR="00A5075B" w:rsidRDefault="0088361A" w:rsidP="00E1170B">
      <w:pPr>
        <w:spacing w:line="360" w:lineRule="auto"/>
        <w:rPr>
          <w:rFonts w:cs="Arial"/>
          <w:bCs/>
          <w:sz w:val="24"/>
          <w:szCs w:val="24"/>
        </w:rPr>
      </w:pPr>
      <w:r>
        <w:rPr>
          <w:rFonts w:eastAsia="Arial" w:cs="Arial"/>
          <w:bCs/>
          <w:sz w:val="24"/>
          <w:szCs w:val="24"/>
          <w:lang w:val="fr-FR"/>
        </w:rPr>
        <w:t>Sur son stand du</w:t>
      </w:r>
      <w:r>
        <w:rPr>
          <w:rFonts w:eastAsia="Arial" w:cs="Arial"/>
          <w:bCs/>
          <w:sz w:val="24"/>
          <w:szCs w:val="24"/>
          <w:lang w:val="fr-FR"/>
        </w:rPr>
        <w:t xml:space="preserve"> pavillon C4 réservé à « Intersolar Europe », la société Richard Brink a présenté sa large gamme de structures porteuses pour installations solaires : « Miralux » a été développée </w:t>
      </w:r>
      <w:r>
        <w:rPr>
          <w:rFonts w:eastAsia="Arial" w:cs="Arial"/>
          <w:bCs/>
          <w:sz w:val="24"/>
          <w:szCs w:val="24"/>
          <w:lang w:val="fr-FR"/>
        </w:rPr>
        <w:t>afin de répondre à différents types d’exigences et d’applications sur les toitures plates. Pour préparer ce salon, le fabricant allemand spécialisé en articles métalliques avait actualisé certains détails de ses systèmes déjà existants. Et il avait aussi a</w:t>
      </w:r>
      <w:r>
        <w:rPr>
          <w:rFonts w:eastAsia="Arial" w:cs="Arial"/>
          <w:bCs/>
          <w:sz w:val="24"/>
          <w:szCs w:val="24"/>
          <w:lang w:val="fr-FR"/>
        </w:rPr>
        <w:t>jouté deux nouveautés à son catalogue. Sur le stand très fréquenté, les visiteurs professionnels ont pu découvrir les structures porteuses pour installations photovoltaïques proposées pour orientation est-ouest ou sud. Richard Brink n’a pas modifié le syst</w:t>
      </w:r>
      <w:r>
        <w:rPr>
          <w:rFonts w:eastAsia="Arial" w:cs="Arial"/>
          <w:bCs/>
          <w:sz w:val="24"/>
          <w:szCs w:val="24"/>
          <w:lang w:val="fr-FR"/>
        </w:rPr>
        <w:t xml:space="preserve">ème </w:t>
      </w:r>
      <w:r>
        <w:rPr>
          <w:rFonts w:eastAsia="Arial" w:cs="Arial"/>
          <w:bCs/>
          <w:sz w:val="24"/>
          <w:szCs w:val="24"/>
          <w:lang w:val="fr-FR"/>
        </w:rPr>
        <w:lastRenderedPageBreak/>
        <w:t>de base qui se démarque par la simplicité de son montage sans outil et sans pénétration dans la toiture. Le nom du petit dernier révèle cependant une nouveauté bien pensée : « Miralux Flex » est une structure porteuse destinée aux deux types d’orientat</w:t>
      </w:r>
      <w:r>
        <w:rPr>
          <w:rFonts w:eastAsia="Arial" w:cs="Arial"/>
          <w:bCs/>
          <w:sz w:val="24"/>
          <w:szCs w:val="24"/>
          <w:lang w:val="fr-FR"/>
        </w:rPr>
        <w:t>ion, et équipée de pinces flexibles capables d’accueillir de multiples panneaux disponibles sur le marché. Les clients bénéficient ainsi d’une liberté maximale dans l’aménagement d’installations photovoltaïques, quelle que soit la marque des modules utilis</w:t>
      </w:r>
      <w:r>
        <w:rPr>
          <w:rFonts w:eastAsia="Arial" w:cs="Arial"/>
          <w:bCs/>
          <w:sz w:val="24"/>
          <w:szCs w:val="24"/>
          <w:lang w:val="fr-FR"/>
        </w:rPr>
        <w:t>és.</w:t>
      </w:r>
    </w:p>
    <w:p w14:paraId="5E4D4B0E" w14:textId="77777777" w:rsidR="003129E5" w:rsidRPr="00AC26FD" w:rsidRDefault="0088361A" w:rsidP="00E1170B">
      <w:pPr>
        <w:spacing w:line="360" w:lineRule="auto"/>
        <w:rPr>
          <w:rFonts w:cs="Arial"/>
          <w:b/>
          <w:sz w:val="24"/>
          <w:szCs w:val="24"/>
        </w:rPr>
      </w:pPr>
      <w:r>
        <w:rPr>
          <w:rFonts w:eastAsia="Arial" w:cs="Arial"/>
          <w:b/>
          <w:bCs/>
          <w:sz w:val="24"/>
          <w:szCs w:val="24"/>
          <w:lang w:val="fr-FR"/>
        </w:rPr>
        <w:t>Le meilleur de deux mondes</w:t>
      </w:r>
    </w:p>
    <w:p w14:paraId="564544BB" w14:textId="219F7BCC" w:rsidR="003129E5" w:rsidRDefault="0088361A" w:rsidP="00E1170B">
      <w:pPr>
        <w:spacing w:line="360" w:lineRule="auto"/>
        <w:rPr>
          <w:rFonts w:cs="Arial"/>
          <w:bCs/>
          <w:sz w:val="24"/>
          <w:szCs w:val="24"/>
        </w:rPr>
      </w:pPr>
      <w:r>
        <w:rPr>
          <w:rFonts w:eastAsia="Arial" w:cs="Arial"/>
          <w:bCs/>
          <w:sz w:val="24"/>
          <w:szCs w:val="24"/>
          <w:lang w:val="fr-FR"/>
        </w:rPr>
        <w:t>La gamme Richard Bink compte deux nouvelles solutions pour intégrer des</w:t>
      </w:r>
      <w:r>
        <w:rPr>
          <w:rFonts w:eastAsia="Arial" w:cs="Arial"/>
          <w:bCs/>
          <w:sz w:val="24"/>
          <w:szCs w:val="24"/>
          <w:lang w:val="fr-FR"/>
        </w:rPr>
        <w:t xml:space="preserve"> modules solaires au-dessus des végétalisations extensives. Elles permettent de réaliser ces deux types d’équipements en même temps sur le neuf ou d’ajouter le photovoltaïque ultérieurement. La structure surélevée pour toiture verte convient, en effet, à c</w:t>
      </w:r>
      <w:r>
        <w:rPr>
          <w:rFonts w:eastAsia="Arial" w:cs="Arial"/>
          <w:bCs/>
          <w:sz w:val="24"/>
          <w:szCs w:val="24"/>
          <w:lang w:val="fr-FR"/>
        </w:rPr>
        <w:t>es deux cas de figure. Cette extension de 60 cm de haut se visse sous les structures porteuses pour installations solaires orientées est-ouest. Si la toiture est déjà végétalisée, il suffit de dégager la surface au niveau des pieds de lestage qui seront montés</w:t>
      </w:r>
      <w:r>
        <w:rPr>
          <w:rFonts w:eastAsia="Arial" w:cs="Arial"/>
          <w:bCs/>
          <w:sz w:val="24"/>
          <w:szCs w:val="24"/>
          <w:lang w:val="fr-FR"/>
        </w:rPr>
        <w:t xml:space="preserve"> au sol. En béton polymère, ces derniers sont également vissés à la surélévation. Richard Brink les propose notamment en une </w:t>
      </w:r>
      <w:r>
        <w:rPr>
          <w:rFonts w:eastAsia="Arial" w:cs="Arial"/>
          <w:bCs/>
          <w:sz w:val="24"/>
          <w:szCs w:val="24"/>
          <w:lang w:val="fr-FR"/>
        </w:rPr>
        <w:t xml:space="preserve">version de 16 kg à base plate qui permet ensuite de poser les granulés et le tapis de sedum jusqu’au bord de la transition entre le </w:t>
      </w:r>
      <w:r>
        <w:rPr>
          <w:rFonts w:eastAsia="Arial" w:cs="Arial"/>
          <w:bCs/>
          <w:sz w:val="24"/>
          <w:szCs w:val="24"/>
          <w:lang w:val="fr-FR"/>
        </w:rPr>
        <w:t>lestage et la surélévation pour une jolie finition bien nette.</w:t>
      </w:r>
    </w:p>
    <w:p w14:paraId="3A6AA24F" w14:textId="77777777" w:rsidR="00AE2A93" w:rsidRPr="00877551" w:rsidRDefault="0088361A" w:rsidP="005B1417">
      <w:pPr>
        <w:spacing w:line="360" w:lineRule="auto"/>
        <w:rPr>
          <w:rFonts w:cs="Arial"/>
          <w:b/>
          <w:sz w:val="24"/>
          <w:szCs w:val="24"/>
        </w:rPr>
      </w:pPr>
      <w:r>
        <w:rPr>
          <w:rFonts w:eastAsia="Arial" w:cs="Arial"/>
          <w:b/>
          <w:bCs/>
          <w:sz w:val="24"/>
          <w:szCs w:val="24"/>
          <w:lang w:val="fr-FR"/>
        </w:rPr>
        <w:t>Végétalisation et lestage</w:t>
      </w:r>
    </w:p>
    <w:p w14:paraId="27E18B84" w14:textId="77777777" w:rsidR="00877551" w:rsidRDefault="0088361A" w:rsidP="005B1417">
      <w:pPr>
        <w:spacing w:line="360" w:lineRule="auto"/>
        <w:rPr>
          <w:rFonts w:cs="Arial"/>
          <w:bCs/>
          <w:sz w:val="24"/>
          <w:szCs w:val="24"/>
        </w:rPr>
      </w:pPr>
      <w:r>
        <w:rPr>
          <w:rFonts w:eastAsia="Arial" w:cs="Arial"/>
          <w:bCs/>
          <w:sz w:val="24"/>
          <w:szCs w:val="24"/>
          <w:lang w:val="fr-FR"/>
        </w:rPr>
        <w:t>Le système « </w:t>
      </w:r>
      <w:r>
        <w:rPr>
          <w:rFonts w:eastAsia="Arial" w:cs="Arial"/>
          <w:bCs/>
          <w:sz w:val="24"/>
          <w:szCs w:val="24"/>
          <w:lang w:val="fr-FR"/>
        </w:rPr>
        <w:t>Miralux Green » est une solution spécialement développée pour les constructions neuves. Disponible pour une orientation est-ouest ou sud, il réunit deux fonctions en un seul système : des tôles d’appui et un treillis en fibres de verre intègrent les différ</w:t>
      </w:r>
      <w:r>
        <w:rPr>
          <w:rFonts w:eastAsia="Arial" w:cs="Arial"/>
          <w:bCs/>
          <w:sz w:val="24"/>
          <w:szCs w:val="24"/>
          <w:lang w:val="fr-FR"/>
        </w:rPr>
        <w:t xml:space="preserve">entes couches de la végétalisation extensive dans la structure porteuse de telle sorte qu’elles assurent un lestage en pleine surface. </w:t>
      </w:r>
      <w:r>
        <w:rPr>
          <w:rFonts w:eastAsia="Arial" w:cs="Arial"/>
          <w:bCs/>
          <w:sz w:val="24"/>
          <w:szCs w:val="24"/>
          <w:lang w:val="fr-FR"/>
        </w:rPr>
        <w:lastRenderedPageBreak/>
        <w:t>Le besoin de poids supplémentaires est ainsi considérablement réduit. Ils peuvent même ne plus être nécessaires du tout s</w:t>
      </w:r>
      <w:r>
        <w:rPr>
          <w:rFonts w:eastAsia="Arial" w:cs="Arial"/>
          <w:bCs/>
          <w:sz w:val="24"/>
          <w:szCs w:val="24"/>
          <w:lang w:val="fr-FR"/>
        </w:rPr>
        <w:t>elon la structure du toit et le positionnement. La gamme de produits Richard Brink comprenant également des systèmes complets pour une végétalisation extensive des toits, les clients peuvent obtenir tous les composants requis pour associer toiture verte et</w:t>
      </w:r>
      <w:r>
        <w:rPr>
          <w:rFonts w:eastAsia="Arial" w:cs="Arial"/>
          <w:bCs/>
          <w:sz w:val="24"/>
          <w:szCs w:val="24"/>
          <w:lang w:val="fr-FR"/>
        </w:rPr>
        <w:t xml:space="preserve"> photovoltaïque auprès d’un seul et même fournisseur.</w:t>
      </w:r>
    </w:p>
    <w:p w14:paraId="12B20020" w14:textId="77777777" w:rsidR="00877551" w:rsidRDefault="0088361A" w:rsidP="005B1417">
      <w:pPr>
        <w:spacing w:line="360" w:lineRule="auto"/>
        <w:rPr>
          <w:rFonts w:cs="Arial"/>
          <w:bCs/>
          <w:sz w:val="24"/>
          <w:szCs w:val="24"/>
        </w:rPr>
      </w:pPr>
      <w:r>
        <w:rPr>
          <w:rFonts w:eastAsia="Arial" w:cs="Arial"/>
          <w:bCs/>
          <w:sz w:val="24"/>
          <w:szCs w:val="24"/>
          <w:lang w:val="fr-FR"/>
        </w:rPr>
        <w:t xml:space="preserve">Les échanges sur le stand du salon ont bien confirmé le besoin du marché pour de telles solutions. « Nos entretiens avec les </w:t>
      </w:r>
      <w:r>
        <w:rPr>
          <w:rFonts w:eastAsia="Arial" w:cs="Arial"/>
          <w:bCs/>
          <w:sz w:val="24"/>
          <w:szCs w:val="24"/>
          <w:lang w:val="fr-FR"/>
        </w:rPr>
        <w:t>visiteurs professionnels ont clairement fait apparaître que l’envie de combiner les toitures végétalisées et le photovoltaïque était bien présente, en plus des aspects tels que la disponibilité rapide des structures porteuses et la facilité de leur manieme</w:t>
      </w:r>
      <w:r>
        <w:rPr>
          <w:rFonts w:eastAsia="Arial" w:cs="Arial"/>
          <w:bCs/>
          <w:sz w:val="24"/>
          <w:szCs w:val="24"/>
          <w:lang w:val="fr-FR"/>
        </w:rPr>
        <w:t>nt. Nous sommes très heureux du vif intérêt que connaissent nos solutions qui répondent exactement à ces exigences. La grande diversité des produits et des systèmes disponibles sur le marché rend un service de conseil individuel et personnalisé indispensab</w:t>
      </w:r>
      <w:r>
        <w:rPr>
          <w:rFonts w:eastAsia="Arial" w:cs="Arial"/>
          <w:bCs/>
          <w:sz w:val="24"/>
          <w:szCs w:val="24"/>
          <w:lang w:val="fr-FR"/>
        </w:rPr>
        <w:t>le. « Intersolar Europe » s’est avéré être, pour cela, une plateforme idéale », résume le directeur Stefan Brink à l’issue du salon.</w:t>
      </w:r>
    </w:p>
    <w:p w14:paraId="51BB95CE" w14:textId="57D6A8FB" w:rsidR="001A053B" w:rsidRPr="00640125" w:rsidRDefault="0088361A" w:rsidP="005B1417">
      <w:pPr>
        <w:spacing w:line="360" w:lineRule="auto"/>
        <w:rPr>
          <w:rFonts w:cs="Arial"/>
          <w:bCs/>
          <w:color w:val="000000" w:themeColor="text1"/>
          <w:sz w:val="24"/>
          <w:szCs w:val="24"/>
        </w:rPr>
      </w:pPr>
      <w:r>
        <w:rPr>
          <w:rFonts w:eastAsia="Arial" w:cs="Arial"/>
          <w:b/>
          <w:bCs/>
          <w:sz w:val="24"/>
          <w:szCs w:val="24"/>
          <w:lang w:val="fr-FR"/>
        </w:rPr>
        <w:t>(</w:t>
      </w:r>
      <w:r w:rsidR="00DC7384">
        <w:rPr>
          <w:rFonts w:eastAsia="Arial" w:cs="Arial"/>
          <w:b/>
          <w:bCs/>
          <w:sz w:val="24"/>
          <w:szCs w:val="24"/>
          <w:lang w:val="fr-FR"/>
        </w:rPr>
        <w:t>E</w:t>
      </w:r>
      <w:r>
        <w:rPr>
          <w:rFonts w:eastAsia="Arial" w:cs="Arial"/>
          <w:b/>
          <w:bCs/>
          <w:sz w:val="24"/>
          <w:szCs w:val="24"/>
          <w:lang w:val="fr-FR"/>
        </w:rPr>
        <w:t>nv. 4</w:t>
      </w:r>
      <w:r w:rsidR="00DC7384">
        <w:rPr>
          <w:rFonts w:eastAsia="Arial" w:cs="Arial"/>
          <w:b/>
          <w:bCs/>
          <w:sz w:val="24"/>
          <w:szCs w:val="24"/>
          <w:lang w:val="fr-FR"/>
        </w:rPr>
        <w:t>888</w:t>
      </w:r>
      <w:r>
        <w:rPr>
          <w:rFonts w:eastAsia="Arial" w:cs="Arial"/>
          <w:b/>
          <w:bCs/>
          <w:sz w:val="24"/>
          <w:szCs w:val="24"/>
          <w:lang w:val="fr-FR"/>
        </w:rPr>
        <w:t xml:space="preserve"> caractères)</w:t>
      </w:r>
    </w:p>
    <w:p w14:paraId="246ED2EF" w14:textId="77777777" w:rsidR="0078299E" w:rsidRPr="0036025B" w:rsidRDefault="0078299E" w:rsidP="004B5AD1">
      <w:pPr>
        <w:spacing w:after="0" w:line="240" w:lineRule="auto"/>
        <w:rPr>
          <w:rFonts w:cs="Arial"/>
          <w:vanish/>
          <w:sz w:val="18"/>
        </w:rPr>
      </w:pPr>
    </w:p>
    <w:p w14:paraId="1A4F30CB" w14:textId="77777777" w:rsidR="00780385" w:rsidRPr="00AC30E5" w:rsidRDefault="00780385" w:rsidP="00780385">
      <w:pPr>
        <w:spacing w:after="0" w:line="240" w:lineRule="auto"/>
        <w:rPr>
          <w:rFonts w:cs="Arial"/>
          <w:sz w:val="18"/>
        </w:rPr>
      </w:pPr>
      <w:r w:rsidRPr="00AC30E5">
        <w:rPr>
          <w:rFonts w:eastAsia="Arial" w:cs="Arial"/>
          <w:sz w:val="18"/>
          <w:szCs w:val="18"/>
          <w:lang w:val="fr-FR"/>
        </w:rPr>
        <w:t xml:space="preserve">La gamme de produits de l’entreprise familiale fondée en 1976 est extrêmement large : systèmes d’évacuation des eaux et de drainage, garde-gravier, bordures de jardin, bordures de gazon, cornières, couvre-mur, jardinières, structures porteuses pour installations solaires, chapeaux de cheminée ou girouettes. Informations complémentaires disponibles sur : </w:t>
      </w:r>
      <w:hyperlink r:id="rId7" w:history="1">
        <w:r w:rsidRPr="00AC30E5">
          <w:rPr>
            <w:rFonts w:eastAsia="Arial" w:cs="Arial"/>
            <w:sz w:val="18"/>
            <w:szCs w:val="18"/>
            <w:u w:val="single"/>
            <w:lang w:val="fr-FR"/>
          </w:rPr>
          <w:t>www.richard-brink.de</w:t>
        </w:r>
      </w:hyperlink>
      <w:r w:rsidRPr="00AC30E5">
        <w:rPr>
          <w:rFonts w:eastAsia="Arial" w:cs="Arial"/>
          <w:sz w:val="18"/>
          <w:szCs w:val="18"/>
          <w:lang w:val="fr-FR"/>
        </w:rPr>
        <w:t>.</w:t>
      </w:r>
    </w:p>
    <w:p w14:paraId="6B0FA33A" w14:textId="77777777" w:rsidR="00780385" w:rsidRPr="00AC30E5" w:rsidRDefault="00780385" w:rsidP="00780385">
      <w:pPr>
        <w:spacing w:after="0" w:line="240" w:lineRule="auto"/>
        <w:rPr>
          <w:rFonts w:cs="Arial"/>
          <w:sz w:val="18"/>
        </w:rPr>
      </w:pPr>
    </w:p>
    <w:p w14:paraId="51F5CCD9" w14:textId="77777777" w:rsidR="00780385" w:rsidRPr="00AC30E5" w:rsidRDefault="00780385" w:rsidP="00780385">
      <w:pPr>
        <w:spacing w:line="240" w:lineRule="auto"/>
        <w:rPr>
          <w:rFonts w:cs="Arial"/>
          <w:sz w:val="18"/>
        </w:rPr>
      </w:pPr>
      <w:r w:rsidRPr="00AC30E5">
        <w:rPr>
          <w:rFonts w:eastAsia="Arial" w:cs="Arial"/>
          <w:sz w:val="18"/>
          <w:szCs w:val="18"/>
          <w:lang w:val="fr-FR"/>
        </w:rPr>
        <w:t>La société affiliée Brink Systembau GmbH s’est spécialisée dans l’aménagement de stands pour foires et expositions. Elle commercialise des systèmes modulaires produits par Richard Brink GmbH &amp; Co et servant, par exemple, de parois sur les salons. Ils peuvent également être utilisés dans d’autres domaines : caissons pour machines, protection antibruit, cloisons de séparation ou étalages… Son portefeuille inclut aussi des affichages LED grand format qui attirent rapidement l’attention des visiteurs.</w:t>
      </w:r>
    </w:p>
    <w:p w14:paraId="032971BC" w14:textId="69B9DC8E" w:rsidR="007E6042" w:rsidRPr="0036025B" w:rsidRDefault="007E6042" w:rsidP="00780385">
      <w:pPr>
        <w:spacing w:after="0" w:line="240" w:lineRule="auto"/>
        <w:rPr>
          <w:rFonts w:cs="Arial"/>
          <w:vanish/>
          <w:sz w:val="18"/>
        </w:rPr>
      </w:pPr>
    </w:p>
    <w:sectPr w:rsidR="007E6042" w:rsidRPr="0036025B"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E94AC" w14:textId="77777777" w:rsidR="00000000" w:rsidRDefault="0088361A">
      <w:pPr>
        <w:spacing w:after="0" w:line="240" w:lineRule="auto"/>
      </w:pPr>
      <w:r>
        <w:separator/>
      </w:r>
    </w:p>
  </w:endnote>
  <w:endnote w:type="continuationSeparator" w:id="0">
    <w:p w14:paraId="1025CFD2" w14:textId="77777777" w:rsidR="00000000" w:rsidRDefault="00883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1E654E" w14:textId="77777777" w:rsidR="00EE7ED8" w:rsidRDefault="0088361A">
    <w:pPr>
      <w:pStyle w:val="Fuzeile"/>
      <w:jc w:val="center"/>
    </w:pPr>
    <w:r>
      <w:rPr>
        <w:noProof/>
        <w:lang w:eastAsia="de-DE"/>
      </w:rPr>
      <w:pict w14:anchorId="0A1A1373">
        <v:shapetype id="_x0000_t202" coordsize="21600,21600" o:spt="202" path="m,l,21600r21600,l21600,xe">
          <v:stroke joinstyle="miter"/>
          <v:path gradientshapeok="t" o:connecttype="rect"/>
        </v:shapetype>
        <v:shape id="_x0000_s2050" type="#_x0000_t202" style="position:absolute;left:0;text-align:left;margin-left:392.2pt;margin-top:-193.15pt;width:126pt;height:224.25pt;z-index:251658240;mso-wrap-style:square;mso-wrap-edited:f;mso-width-percent:0;mso-height-percent:0;mso-width-percent:0;mso-height-percent:0;v-text-anchor:top" filled="f" stroked="f">
          <v:textbox>
            <w:txbxContent>
              <w:p w14:paraId="020DAD8F" w14:textId="77777777" w:rsidR="00973EAE" w:rsidRPr="001C069C" w:rsidRDefault="00973EAE" w:rsidP="00973EAE">
                <w:pPr>
                  <w:spacing w:after="0" w:line="240" w:lineRule="auto"/>
                  <w:rPr>
                    <w:rFonts w:eastAsia="Arial"/>
                    <w:color w:val="808080"/>
                    <w:sz w:val="14"/>
                    <w:szCs w:val="14"/>
                    <w:lang w:val="fr-FR"/>
                  </w:rPr>
                </w:pPr>
                <w:r w:rsidRPr="001C069C">
                  <w:rPr>
                    <w:rFonts w:eastAsia="Arial"/>
                    <w:color w:val="808080"/>
                    <w:sz w:val="14"/>
                    <w:szCs w:val="14"/>
                    <w:lang w:val="fr-FR"/>
                  </w:rPr>
                  <w:t>Éditeur :</w:t>
                </w:r>
              </w:p>
              <w:p w14:paraId="61C80271" w14:textId="77777777" w:rsidR="00973EAE" w:rsidRPr="001C069C" w:rsidRDefault="00973EAE" w:rsidP="00973EAE">
                <w:pPr>
                  <w:pStyle w:val="berschrift1"/>
                  <w:spacing w:line="240" w:lineRule="auto"/>
                  <w:jc w:val="left"/>
                  <w:rPr>
                    <w:color w:val="808080"/>
                    <w:sz w:val="14"/>
                  </w:rPr>
                </w:pPr>
                <w:r w:rsidRPr="001C069C">
                  <w:rPr>
                    <w:rFonts w:eastAsia="Arial"/>
                    <w:color w:val="808080"/>
                    <w:sz w:val="14"/>
                    <w:szCs w:val="14"/>
                    <w:lang w:val="fr-FR"/>
                  </w:rPr>
                  <w:t>Richard Brink GmbH &amp; Co. KG</w:t>
                </w:r>
              </w:p>
              <w:p w14:paraId="51128B6F" w14:textId="77777777" w:rsidR="00973EAE" w:rsidRPr="001C069C" w:rsidRDefault="00973EAE" w:rsidP="00973EAE">
                <w:pPr>
                  <w:spacing w:after="0" w:line="240" w:lineRule="auto"/>
                  <w:rPr>
                    <w:color w:val="808080"/>
                    <w:sz w:val="14"/>
                  </w:rPr>
                </w:pPr>
                <w:r w:rsidRPr="001C069C">
                  <w:rPr>
                    <w:rFonts w:eastAsia="Arial"/>
                    <w:color w:val="808080"/>
                    <w:sz w:val="14"/>
                    <w:szCs w:val="14"/>
                    <w:lang w:val="fr-FR"/>
                  </w:rPr>
                  <w:t>Görlitzer Straße 1</w:t>
                </w:r>
              </w:p>
              <w:p w14:paraId="4F7BFEC2" w14:textId="77777777" w:rsidR="00973EAE" w:rsidRPr="001C069C" w:rsidRDefault="00973EAE" w:rsidP="00973EAE">
                <w:pPr>
                  <w:spacing w:after="0" w:line="240" w:lineRule="auto"/>
                  <w:rPr>
                    <w:color w:val="808080"/>
                    <w:sz w:val="14"/>
                  </w:rPr>
                </w:pPr>
                <w:r w:rsidRPr="001C069C">
                  <w:rPr>
                    <w:rFonts w:eastAsia="Arial"/>
                    <w:color w:val="808080"/>
                    <w:sz w:val="14"/>
                    <w:szCs w:val="14"/>
                    <w:lang w:val="fr-FR"/>
                  </w:rPr>
                  <w:t>33758 Schloß Holte-Stukenbrock, Allemagne</w:t>
                </w:r>
              </w:p>
              <w:p w14:paraId="62E945B8" w14:textId="77777777" w:rsidR="00973EAE" w:rsidRPr="001C069C" w:rsidRDefault="00973EAE" w:rsidP="00973EAE">
                <w:pPr>
                  <w:spacing w:after="0" w:line="240" w:lineRule="auto"/>
                  <w:rPr>
                    <w:color w:val="808080"/>
                    <w:sz w:val="14"/>
                  </w:rPr>
                </w:pPr>
                <w:r w:rsidRPr="001C069C">
                  <w:rPr>
                    <w:rFonts w:eastAsia="Arial"/>
                    <w:color w:val="808080"/>
                    <w:sz w:val="14"/>
                    <w:szCs w:val="14"/>
                    <w:lang w:val="fr-FR"/>
                  </w:rPr>
                  <w:t>Téléphone :+49 (0)5207 9504-0</w:t>
                </w:r>
              </w:p>
              <w:p w14:paraId="2A249D9B" w14:textId="77777777" w:rsidR="00973EAE" w:rsidRPr="001C069C" w:rsidRDefault="00973EAE" w:rsidP="00973EAE">
                <w:pPr>
                  <w:spacing w:after="0" w:line="240" w:lineRule="auto"/>
                  <w:rPr>
                    <w:color w:val="808080"/>
                    <w:sz w:val="14"/>
                  </w:rPr>
                </w:pPr>
                <w:r w:rsidRPr="001C069C">
                  <w:rPr>
                    <w:rFonts w:eastAsia="Arial"/>
                    <w:color w:val="808080"/>
                    <w:sz w:val="14"/>
                    <w:szCs w:val="14"/>
                    <w:lang w:val="fr-FR"/>
                  </w:rPr>
                  <w:t>Fax :</w:t>
                </w:r>
                <w:r w:rsidRPr="001C069C">
                  <w:rPr>
                    <w:rFonts w:eastAsia="Arial"/>
                    <w:color w:val="808080"/>
                    <w:sz w:val="14"/>
                    <w:szCs w:val="14"/>
                    <w:lang w:val="fr-FR"/>
                  </w:rPr>
                  <w:tab/>
                  <w:t>+49 (0)5207 9504-20</w:t>
                </w:r>
              </w:p>
              <w:p w14:paraId="59BEFD27" w14:textId="77777777" w:rsidR="00973EAE" w:rsidRPr="001C069C" w:rsidRDefault="00973EAE" w:rsidP="00973EAE">
                <w:pPr>
                  <w:spacing w:after="0" w:line="240" w:lineRule="auto"/>
                  <w:rPr>
                    <w:color w:val="808080"/>
                    <w:sz w:val="14"/>
                  </w:rPr>
                </w:pPr>
                <w:r w:rsidRPr="001C069C">
                  <w:rPr>
                    <w:rFonts w:eastAsia="Arial"/>
                    <w:color w:val="808080"/>
                    <w:sz w:val="14"/>
                    <w:szCs w:val="14"/>
                    <w:lang w:val="fr-FR"/>
                  </w:rPr>
                  <w:t>http://www.richard-brink.de</w:t>
                </w:r>
              </w:p>
              <w:p w14:paraId="0F02A3B4" w14:textId="77777777" w:rsidR="00973EAE" w:rsidRPr="001C069C" w:rsidRDefault="00973EAE" w:rsidP="00973EAE">
                <w:pPr>
                  <w:spacing w:after="0" w:line="240" w:lineRule="auto"/>
                  <w:rPr>
                    <w:color w:val="808080"/>
                    <w:sz w:val="14"/>
                  </w:rPr>
                </w:pPr>
                <w:r w:rsidRPr="001C069C">
                  <w:rPr>
                    <w:rFonts w:eastAsia="Arial"/>
                    <w:color w:val="808080"/>
                    <w:sz w:val="14"/>
                    <w:szCs w:val="14"/>
                    <w:lang w:val="fr-FR"/>
                  </w:rPr>
                  <w:t>Courriel : stefan.brink@richard-brink.de</w:t>
                </w:r>
              </w:p>
              <w:p w14:paraId="734EDE65" w14:textId="77777777" w:rsidR="00973EAE" w:rsidRPr="001C069C" w:rsidRDefault="00973EAE" w:rsidP="00973EAE">
                <w:pPr>
                  <w:spacing w:after="0" w:line="240" w:lineRule="auto"/>
                  <w:rPr>
                    <w:color w:val="808080"/>
                    <w:sz w:val="14"/>
                  </w:rPr>
                </w:pPr>
              </w:p>
              <w:p w14:paraId="33B6B6C3" w14:textId="77777777" w:rsidR="00973EAE" w:rsidRPr="001C069C" w:rsidRDefault="00973EAE" w:rsidP="00973EAE">
                <w:pPr>
                  <w:spacing w:after="0" w:line="240" w:lineRule="auto"/>
                  <w:rPr>
                    <w:b/>
                    <w:color w:val="808080"/>
                    <w:sz w:val="14"/>
                  </w:rPr>
                </w:pPr>
                <w:r w:rsidRPr="001C069C">
                  <w:rPr>
                    <w:rFonts w:eastAsia="Arial"/>
                    <w:b/>
                    <w:bCs/>
                    <w:color w:val="808080"/>
                    <w:sz w:val="14"/>
                    <w:szCs w:val="14"/>
                    <w:lang w:val="fr-FR"/>
                  </w:rPr>
                  <w:t>Interlocuteur à la rédaction :</w:t>
                </w:r>
              </w:p>
              <w:p w14:paraId="038E2A3D" w14:textId="77777777" w:rsidR="00973EAE" w:rsidRPr="001C069C" w:rsidRDefault="00973EAE" w:rsidP="00973EAE">
                <w:pPr>
                  <w:pStyle w:val="Textkrper"/>
                  <w:rPr>
                    <w:rFonts w:ascii="Arial" w:hAnsi="Arial"/>
                    <w:color w:val="808080"/>
                    <w:sz w:val="14"/>
                    <w:lang w:val="it-IT"/>
                  </w:rPr>
                </w:pPr>
                <w:r w:rsidRPr="001C069C">
                  <w:rPr>
                    <w:rFonts w:ascii="Arial" w:eastAsia="Arial" w:hAnsi="Arial"/>
                    <w:color w:val="808080"/>
                    <w:sz w:val="14"/>
                    <w:szCs w:val="14"/>
                    <w:lang w:val="fr-FR"/>
                  </w:rPr>
                  <w:t>Daniel Kraus</w:t>
                </w:r>
              </w:p>
              <w:p w14:paraId="7FF72000" w14:textId="77777777" w:rsidR="00973EAE" w:rsidRPr="001C069C" w:rsidRDefault="00973EAE" w:rsidP="00973EAE">
                <w:pPr>
                  <w:pStyle w:val="Textkrper"/>
                  <w:rPr>
                    <w:rFonts w:ascii="Arial" w:hAnsi="Arial"/>
                    <w:color w:val="808080"/>
                    <w:sz w:val="14"/>
                    <w:lang w:val="it-IT"/>
                  </w:rPr>
                </w:pPr>
                <w:r w:rsidRPr="001C069C">
                  <w:rPr>
                    <w:rFonts w:ascii="Arial" w:eastAsia="Arial" w:hAnsi="Arial"/>
                    <w:color w:val="808080"/>
                    <w:sz w:val="14"/>
                    <w:szCs w:val="14"/>
                    <w:lang w:val="fr-FR"/>
                  </w:rPr>
                  <w:t>Responsable du contenu marketing</w:t>
                </w:r>
              </w:p>
              <w:p w14:paraId="4693A8E5" w14:textId="77777777" w:rsidR="00973EAE" w:rsidRPr="001C069C" w:rsidRDefault="00973EAE" w:rsidP="00973EAE">
                <w:pPr>
                  <w:pStyle w:val="Textkrper"/>
                  <w:rPr>
                    <w:rFonts w:ascii="Arial" w:hAnsi="Arial"/>
                    <w:color w:val="808080"/>
                    <w:sz w:val="14"/>
                    <w:lang w:val="it-IT"/>
                  </w:rPr>
                </w:pPr>
                <w:r w:rsidRPr="001C069C">
                  <w:rPr>
                    <w:rFonts w:ascii="Arial" w:eastAsia="Arial" w:hAnsi="Arial"/>
                    <w:color w:val="808080"/>
                    <w:sz w:val="14"/>
                    <w:szCs w:val="14"/>
                    <w:lang w:val="fr-FR"/>
                  </w:rPr>
                  <w:t>daniel.kraus@richard-brink.de</w:t>
                </w:r>
              </w:p>
              <w:p w14:paraId="29C32DA3" w14:textId="77777777" w:rsidR="00973EAE" w:rsidRPr="001C069C" w:rsidRDefault="00973EAE" w:rsidP="00973EAE">
                <w:pPr>
                  <w:pStyle w:val="berschrift3"/>
                  <w:tabs>
                    <w:tab w:val="left" w:pos="567"/>
                  </w:tabs>
                  <w:rPr>
                    <w:color w:val="808080"/>
                    <w:sz w:val="14"/>
                    <w:szCs w:val="14"/>
                    <w:lang w:val="it-IT"/>
                  </w:rPr>
                </w:pPr>
              </w:p>
              <w:p w14:paraId="3FBA94E4" w14:textId="77777777" w:rsidR="00973EAE" w:rsidRPr="001C069C" w:rsidRDefault="00973EAE" w:rsidP="00973EAE">
                <w:pPr>
                  <w:pStyle w:val="berschrift3"/>
                  <w:tabs>
                    <w:tab w:val="left" w:pos="567"/>
                  </w:tabs>
                  <w:rPr>
                    <w:color w:val="808080"/>
                    <w:sz w:val="14"/>
                    <w:szCs w:val="14"/>
                  </w:rPr>
                </w:pPr>
                <w:r w:rsidRPr="001C069C">
                  <w:rPr>
                    <w:rFonts w:eastAsia="Arial"/>
                    <w:color w:val="808080"/>
                    <w:sz w:val="14"/>
                    <w:szCs w:val="14"/>
                    <w:lang w:val="fr-FR"/>
                  </w:rPr>
                  <w:t>Impression libre – merci de transmettre une copie</w:t>
                </w:r>
              </w:p>
              <w:p w14:paraId="73EEBE06" w14:textId="77777777" w:rsidR="00973EAE" w:rsidRPr="001C069C" w:rsidRDefault="00973EAE" w:rsidP="00973EAE">
                <w:pPr>
                  <w:rPr>
                    <w:sz w:val="18"/>
                  </w:rPr>
                </w:pPr>
              </w:p>
              <w:p w14:paraId="19398CAF" w14:textId="77777777" w:rsidR="00EE7ED8" w:rsidRPr="0036025B" w:rsidRDefault="00EE7ED8" w:rsidP="00BA50C8">
                <w:pPr>
                  <w:rPr>
                    <w:vanish/>
                    <w:sz w:val="18"/>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4E213FAC"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CE8B9" w14:textId="77777777" w:rsidR="00000000" w:rsidRDefault="0088361A">
      <w:pPr>
        <w:spacing w:after="0" w:line="240" w:lineRule="auto"/>
      </w:pPr>
      <w:r>
        <w:separator/>
      </w:r>
    </w:p>
  </w:footnote>
  <w:footnote w:type="continuationSeparator" w:id="0">
    <w:p w14:paraId="7918633D" w14:textId="77777777" w:rsidR="00000000" w:rsidRDefault="008836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01078" w14:textId="77777777" w:rsidR="00EE7ED8" w:rsidRDefault="0088361A">
    <w:pPr>
      <w:pStyle w:val="Kopfzeile"/>
      <w:rPr>
        <w:rFonts w:ascii="Verdana" w:hAnsi="Verdana"/>
        <w:color w:val="808080"/>
        <w:sz w:val="52"/>
        <w:szCs w:val="52"/>
      </w:rPr>
    </w:pPr>
    <w:r>
      <w:rPr>
        <w:rFonts w:ascii="Verdana" w:hAnsi="Verdana"/>
        <w:noProof/>
        <w:color w:val="808080"/>
        <w:sz w:val="52"/>
        <w:szCs w:val="52"/>
      </w:rPr>
      <w:pict w14:anchorId="7B0857B7">
        <v:shapetype id="_x0000_t202" coordsize="21600,21600" o:spt="202" path="m,l,21600r21600,l21600,xe">
          <v:stroke joinstyle="miter"/>
          <v:path gradientshapeok="t" o:connecttype="rect"/>
        </v:shapetype>
        <v:shape id="_x0000_s2049" type="#_x0000_t202" style="position:absolute;margin-left:392.25pt;margin-top:-1.3pt;width:122.45pt;height:75.35pt;z-index:251657216;mso-wrap-style:none;mso-wrap-edited:f;mso-width-percent:0;mso-height-percent:0;mso-width-percent:0;mso-height-percent:0;mso-width-relative:margin;mso-height-relative:margin;v-text-anchor:top" stroked="f">
          <v:textbox style="mso-fit-shape-to-text:t">
            <w:txbxContent>
              <w:p w14:paraId="2568E1F2" w14:textId="77777777" w:rsidR="00EE7ED8" w:rsidRDefault="0088361A">
                <w:r>
                  <w:rPr>
                    <w:noProof/>
                    <w:lang w:eastAsia="de-DE"/>
                  </w:rPr>
                  <w:drawing>
                    <wp:inline distT="0" distB="0" distL="0" distR="0" wp14:anchorId="149A8CB6" wp14:editId="0814D90B">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Richard Brink GmbH und Co"/>
                              <pic:cNvPicPr>
                                <a:picLocks noChangeAspect="1" noChangeArrowheads="1"/>
                              </pic:cNvPicPr>
                            </pic:nvPicPr>
                            <pic:blipFill>
                              <a:blip r:embed="rId1"/>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2A34824B" w14:textId="77777777" w:rsidR="00EE7ED8" w:rsidRPr="007D13EF" w:rsidRDefault="0088361A" w:rsidP="007D13EF">
    <w:pPr>
      <w:pStyle w:val="Kopfzeile"/>
      <w:rPr>
        <w:rFonts w:ascii="Verdana" w:hAnsi="Verdana"/>
        <w:color w:val="808080"/>
        <w:sz w:val="52"/>
        <w:szCs w:val="52"/>
      </w:rPr>
    </w:pPr>
    <w:r>
      <w:rPr>
        <w:rFonts w:ascii="Verdana" w:eastAsia="Verdana" w:hAnsi="Verdana"/>
        <w:color w:val="808080"/>
        <w:sz w:val="52"/>
        <w:szCs w:val="52"/>
        <w:lang w:val="fr-FR"/>
      </w:rPr>
      <w:t>Communiqué de presse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hdrShapeDefaults>
    <o:shapedefaults v:ext="edit" spidmax="3074"/>
    <o:shapelayout v:ext="edit">
      <o:idmap v:ext="edit" data="1,2"/>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5E1"/>
    <w:rsid w:val="00006AB6"/>
    <w:rsid w:val="00010EA8"/>
    <w:rsid w:val="0001180C"/>
    <w:rsid w:val="0001240E"/>
    <w:rsid w:val="00013ACF"/>
    <w:rsid w:val="00013D62"/>
    <w:rsid w:val="0001470C"/>
    <w:rsid w:val="00017675"/>
    <w:rsid w:val="00017C9A"/>
    <w:rsid w:val="00017E94"/>
    <w:rsid w:val="000207E8"/>
    <w:rsid w:val="000216AB"/>
    <w:rsid w:val="00022156"/>
    <w:rsid w:val="00022430"/>
    <w:rsid w:val="00022A50"/>
    <w:rsid w:val="000245F2"/>
    <w:rsid w:val="00026CEF"/>
    <w:rsid w:val="0003089B"/>
    <w:rsid w:val="000308FC"/>
    <w:rsid w:val="000324DE"/>
    <w:rsid w:val="00032C12"/>
    <w:rsid w:val="00033D49"/>
    <w:rsid w:val="00040E98"/>
    <w:rsid w:val="00042088"/>
    <w:rsid w:val="00043454"/>
    <w:rsid w:val="00045A8B"/>
    <w:rsid w:val="000478AE"/>
    <w:rsid w:val="00047B18"/>
    <w:rsid w:val="0005085E"/>
    <w:rsid w:val="00050918"/>
    <w:rsid w:val="00052171"/>
    <w:rsid w:val="00052599"/>
    <w:rsid w:val="00052CDE"/>
    <w:rsid w:val="00053C5A"/>
    <w:rsid w:val="0005545A"/>
    <w:rsid w:val="000564D2"/>
    <w:rsid w:val="00056671"/>
    <w:rsid w:val="0005739B"/>
    <w:rsid w:val="0006254E"/>
    <w:rsid w:val="00063AD4"/>
    <w:rsid w:val="00064C25"/>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77BAD"/>
    <w:rsid w:val="00082057"/>
    <w:rsid w:val="000823EE"/>
    <w:rsid w:val="00084728"/>
    <w:rsid w:val="00084D95"/>
    <w:rsid w:val="00086ABC"/>
    <w:rsid w:val="00087257"/>
    <w:rsid w:val="00090354"/>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39D"/>
    <w:rsid w:val="000A5802"/>
    <w:rsid w:val="000A5BCC"/>
    <w:rsid w:val="000A69C0"/>
    <w:rsid w:val="000A6FD1"/>
    <w:rsid w:val="000A7959"/>
    <w:rsid w:val="000B08D7"/>
    <w:rsid w:val="000B2A90"/>
    <w:rsid w:val="000B3E18"/>
    <w:rsid w:val="000B5964"/>
    <w:rsid w:val="000B6694"/>
    <w:rsid w:val="000C0671"/>
    <w:rsid w:val="000C276C"/>
    <w:rsid w:val="000C2B13"/>
    <w:rsid w:val="000C2C6B"/>
    <w:rsid w:val="000C2CA3"/>
    <w:rsid w:val="000C4E8E"/>
    <w:rsid w:val="000C7560"/>
    <w:rsid w:val="000C797D"/>
    <w:rsid w:val="000D07D7"/>
    <w:rsid w:val="000D0F6B"/>
    <w:rsid w:val="000D5FAD"/>
    <w:rsid w:val="000D7641"/>
    <w:rsid w:val="000D7C8D"/>
    <w:rsid w:val="000E0752"/>
    <w:rsid w:val="000E1085"/>
    <w:rsid w:val="000E25DB"/>
    <w:rsid w:val="000E3573"/>
    <w:rsid w:val="000E3A2E"/>
    <w:rsid w:val="000E4D36"/>
    <w:rsid w:val="000E704D"/>
    <w:rsid w:val="000E7B71"/>
    <w:rsid w:val="000F2107"/>
    <w:rsid w:val="000F3E3C"/>
    <w:rsid w:val="000F46DC"/>
    <w:rsid w:val="000F5123"/>
    <w:rsid w:val="000F61C7"/>
    <w:rsid w:val="000F6C3F"/>
    <w:rsid w:val="000F716A"/>
    <w:rsid w:val="000F7C1B"/>
    <w:rsid w:val="00100E80"/>
    <w:rsid w:val="00102354"/>
    <w:rsid w:val="0010265F"/>
    <w:rsid w:val="00103C3F"/>
    <w:rsid w:val="00104545"/>
    <w:rsid w:val="00105945"/>
    <w:rsid w:val="00105B46"/>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31B00"/>
    <w:rsid w:val="00137BB9"/>
    <w:rsid w:val="00140811"/>
    <w:rsid w:val="00144A64"/>
    <w:rsid w:val="00151ACE"/>
    <w:rsid w:val="00151ED5"/>
    <w:rsid w:val="00152350"/>
    <w:rsid w:val="00153AE9"/>
    <w:rsid w:val="001549C1"/>
    <w:rsid w:val="00154D0D"/>
    <w:rsid w:val="001561C1"/>
    <w:rsid w:val="001616F2"/>
    <w:rsid w:val="001643D5"/>
    <w:rsid w:val="00164BD1"/>
    <w:rsid w:val="001659AD"/>
    <w:rsid w:val="001736C5"/>
    <w:rsid w:val="00173CFC"/>
    <w:rsid w:val="001775A5"/>
    <w:rsid w:val="00180F1C"/>
    <w:rsid w:val="0018106A"/>
    <w:rsid w:val="00182097"/>
    <w:rsid w:val="0018295D"/>
    <w:rsid w:val="00182EC8"/>
    <w:rsid w:val="001839A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A6A6F"/>
    <w:rsid w:val="001B0049"/>
    <w:rsid w:val="001B17EC"/>
    <w:rsid w:val="001B1B53"/>
    <w:rsid w:val="001B35B0"/>
    <w:rsid w:val="001B444B"/>
    <w:rsid w:val="001B510A"/>
    <w:rsid w:val="001B6FD6"/>
    <w:rsid w:val="001B7186"/>
    <w:rsid w:val="001B7A61"/>
    <w:rsid w:val="001C0ED4"/>
    <w:rsid w:val="001C1528"/>
    <w:rsid w:val="001C33F7"/>
    <w:rsid w:val="001C34A5"/>
    <w:rsid w:val="001C40B5"/>
    <w:rsid w:val="001C5174"/>
    <w:rsid w:val="001C674F"/>
    <w:rsid w:val="001D0517"/>
    <w:rsid w:val="001D0D5E"/>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3DE5"/>
    <w:rsid w:val="0026556F"/>
    <w:rsid w:val="00266692"/>
    <w:rsid w:val="00266C6B"/>
    <w:rsid w:val="00267800"/>
    <w:rsid w:val="0027112F"/>
    <w:rsid w:val="002711CF"/>
    <w:rsid w:val="00272486"/>
    <w:rsid w:val="002728C7"/>
    <w:rsid w:val="00273516"/>
    <w:rsid w:val="0027378B"/>
    <w:rsid w:val="0027470A"/>
    <w:rsid w:val="00276557"/>
    <w:rsid w:val="002767AB"/>
    <w:rsid w:val="0027693D"/>
    <w:rsid w:val="002776E6"/>
    <w:rsid w:val="00281603"/>
    <w:rsid w:val="00281753"/>
    <w:rsid w:val="00281E96"/>
    <w:rsid w:val="002830E4"/>
    <w:rsid w:val="00283FE7"/>
    <w:rsid w:val="00285DB2"/>
    <w:rsid w:val="002877BB"/>
    <w:rsid w:val="00291DB3"/>
    <w:rsid w:val="00291E88"/>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CC"/>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546"/>
    <w:rsid w:val="003007CB"/>
    <w:rsid w:val="00302F51"/>
    <w:rsid w:val="00303FF7"/>
    <w:rsid w:val="00304E76"/>
    <w:rsid w:val="00306E15"/>
    <w:rsid w:val="003129E5"/>
    <w:rsid w:val="00314280"/>
    <w:rsid w:val="00314789"/>
    <w:rsid w:val="00314A52"/>
    <w:rsid w:val="003150B8"/>
    <w:rsid w:val="003153A7"/>
    <w:rsid w:val="003168E4"/>
    <w:rsid w:val="00316F15"/>
    <w:rsid w:val="003225A2"/>
    <w:rsid w:val="00322F59"/>
    <w:rsid w:val="0032344F"/>
    <w:rsid w:val="00323AC6"/>
    <w:rsid w:val="00325852"/>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2BAC"/>
    <w:rsid w:val="003536DC"/>
    <w:rsid w:val="00354210"/>
    <w:rsid w:val="003568C1"/>
    <w:rsid w:val="00357680"/>
    <w:rsid w:val="0036025B"/>
    <w:rsid w:val="003603E9"/>
    <w:rsid w:val="00361C02"/>
    <w:rsid w:val="00362781"/>
    <w:rsid w:val="00363222"/>
    <w:rsid w:val="00363E0F"/>
    <w:rsid w:val="0036451E"/>
    <w:rsid w:val="00365B2C"/>
    <w:rsid w:val="003669E8"/>
    <w:rsid w:val="0036783E"/>
    <w:rsid w:val="00371F81"/>
    <w:rsid w:val="00372537"/>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2D80"/>
    <w:rsid w:val="003A3250"/>
    <w:rsid w:val="003A394F"/>
    <w:rsid w:val="003A3EE2"/>
    <w:rsid w:val="003A4181"/>
    <w:rsid w:val="003A4345"/>
    <w:rsid w:val="003A46A8"/>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102"/>
    <w:rsid w:val="003E2438"/>
    <w:rsid w:val="003E2550"/>
    <w:rsid w:val="003E3760"/>
    <w:rsid w:val="003E4F07"/>
    <w:rsid w:val="003E506C"/>
    <w:rsid w:val="003E520C"/>
    <w:rsid w:val="003E5C94"/>
    <w:rsid w:val="003F44F3"/>
    <w:rsid w:val="003F4F41"/>
    <w:rsid w:val="003F6549"/>
    <w:rsid w:val="003F6A49"/>
    <w:rsid w:val="0040090D"/>
    <w:rsid w:val="00400A87"/>
    <w:rsid w:val="00400C42"/>
    <w:rsid w:val="004015C2"/>
    <w:rsid w:val="00401BC4"/>
    <w:rsid w:val="00402377"/>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17BF2"/>
    <w:rsid w:val="004217DD"/>
    <w:rsid w:val="00422999"/>
    <w:rsid w:val="00423043"/>
    <w:rsid w:val="0042342A"/>
    <w:rsid w:val="004239F5"/>
    <w:rsid w:val="00423E4A"/>
    <w:rsid w:val="00423FF7"/>
    <w:rsid w:val="00424D33"/>
    <w:rsid w:val="004250A2"/>
    <w:rsid w:val="00426442"/>
    <w:rsid w:val="00426898"/>
    <w:rsid w:val="00427E51"/>
    <w:rsid w:val="00430825"/>
    <w:rsid w:val="00430FA4"/>
    <w:rsid w:val="004322B1"/>
    <w:rsid w:val="00432D1E"/>
    <w:rsid w:val="00433372"/>
    <w:rsid w:val="0043493C"/>
    <w:rsid w:val="00434B2C"/>
    <w:rsid w:val="004404FB"/>
    <w:rsid w:val="0044169F"/>
    <w:rsid w:val="00441E0F"/>
    <w:rsid w:val="0044335B"/>
    <w:rsid w:val="00446305"/>
    <w:rsid w:val="00446C0D"/>
    <w:rsid w:val="00450134"/>
    <w:rsid w:val="00450E04"/>
    <w:rsid w:val="00452FCF"/>
    <w:rsid w:val="00457B75"/>
    <w:rsid w:val="00461F5E"/>
    <w:rsid w:val="00462E50"/>
    <w:rsid w:val="00462FFC"/>
    <w:rsid w:val="00464829"/>
    <w:rsid w:val="00465F94"/>
    <w:rsid w:val="00466746"/>
    <w:rsid w:val="00466B73"/>
    <w:rsid w:val="00471AD1"/>
    <w:rsid w:val="00472058"/>
    <w:rsid w:val="00483901"/>
    <w:rsid w:val="00486FC3"/>
    <w:rsid w:val="004874A8"/>
    <w:rsid w:val="00492754"/>
    <w:rsid w:val="00494083"/>
    <w:rsid w:val="004962B5"/>
    <w:rsid w:val="00496FB5"/>
    <w:rsid w:val="004A188F"/>
    <w:rsid w:val="004A32CD"/>
    <w:rsid w:val="004A4224"/>
    <w:rsid w:val="004A5171"/>
    <w:rsid w:val="004A73DC"/>
    <w:rsid w:val="004A7709"/>
    <w:rsid w:val="004B3A4F"/>
    <w:rsid w:val="004B3CF3"/>
    <w:rsid w:val="004B5AD1"/>
    <w:rsid w:val="004B65A2"/>
    <w:rsid w:val="004C1728"/>
    <w:rsid w:val="004C2E77"/>
    <w:rsid w:val="004C309B"/>
    <w:rsid w:val="004C40C5"/>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28DE"/>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12946"/>
    <w:rsid w:val="0051309E"/>
    <w:rsid w:val="0051391D"/>
    <w:rsid w:val="00515500"/>
    <w:rsid w:val="00520A98"/>
    <w:rsid w:val="005218F3"/>
    <w:rsid w:val="0052247E"/>
    <w:rsid w:val="00523D08"/>
    <w:rsid w:val="00525FDF"/>
    <w:rsid w:val="005260B2"/>
    <w:rsid w:val="0053102C"/>
    <w:rsid w:val="00533C3B"/>
    <w:rsid w:val="00533D7F"/>
    <w:rsid w:val="0053450F"/>
    <w:rsid w:val="00536179"/>
    <w:rsid w:val="0054137E"/>
    <w:rsid w:val="00542202"/>
    <w:rsid w:val="005440C7"/>
    <w:rsid w:val="005468B5"/>
    <w:rsid w:val="00547418"/>
    <w:rsid w:val="00551058"/>
    <w:rsid w:val="005513AF"/>
    <w:rsid w:val="00552DC3"/>
    <w:rsid w:val="0055364D"/>
    <w:rsid w:val="00553ABC"/>
    <w:rsid w:val="00554212"/>
    <w:rsid w:val="00555415"/>
    <w:rsid w:val="00555CDE"/>
    <w:rsid w:val="00557254"/>
    <w:rsid w:val="00561098"/>
    <w:rsid w:val="00563F67"/>
    <w:rsid w:val="00565BDB"/>
    <w:rsid w:val="00565C84"/>
    <w:rsid w:val="0056740E"/>
    <w:rsid w:val="0057053E"/>
    <w:rsid w:val="0057244E"/>
    <w:rsid w:val="00577837"/>
    <w:rsid w:val="00580A45"/>
    <w:rsid w:val="00583092"/>
    <w:rsid w:val="0058428D"/>
    <w:rsid w:val="005866BB"/>
    <w:rsid w:val="005876EC"/>
    <w:rsid w:val="00591007"/>
    <w:rsid w:val="0059204B"/>
    <w:rsid w:val="005922CE"/>
    <w:rsid w:val="00592E59"/>
    <w:rsid w:val="00595897"/>
    <w:rsid w:val="00595B94"/>
    <w:rsid w:val="005976D7"/>
    <w:rsid w:val="005A1777"/>
    <w:rsid w:val="005A3576"/>
    <w:rsid w:val="005A38B6"/>
    <w:rsid w:val="005A53B7"/>
    <w:rsid w:val="005A72C2"/>
    <w:rsid w:val="005B12CF"/>
    <w:rsid w:val="005B1417"/>
    <w:rsid w:val="005B1CB4"/>
    <w:rsid w:val="005B231E"/>
    <w:rsid w:val="005B3180"/>
    <w:rsid w:val="005B3938"/>
    <w:rsid w:val="005B4A61"/>
    <w:rsid w:val="005B53C3"/>
    <w:rsid w:val="005C2EC3"/>
    <w:rsid w:val="005C38CF"/>
    <w:rsid w:val="005C7A76"/>
    <w:rsid w:val="005D1E14"/>
    <w:rsid w:val="005D38A6"/>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1E82"/>
    <w:rsid w:val="005F3FC2"/>
    <w:rsid w:val="005F4A4A"/>
    <w:rsid w:val="005F5373"/>
    <w:rsid w:val="005F60AC"/>
    <w:rsid w:val="005F6B0A"/>
    <w:rsid w:val="005F6FE2"/>
    <w:rsid w:val="006004E3"/>
    <w:rsid w:val="00600B6F"/>
    <w:rsid w:val="00602B29"/>
    <w:rsid w:val="006031C5"/>
    <w:rsid w:val="00603A59"/>
    <w:rsid w:val="006062A4"/>
    <w:rsid w:val="00606E85"/>
    <w:rsid w:val="00610B4B"/>
    <w:rsid w:val="00611673"/>
    <w:rsid w:val="0061427F"/>
    <w:rsid w:val="00615403"/>
    <w:rsid w:val="006169C3"/>
    <w:rsid w:val="00616ABD"/>
    <w:rsid w:val="006170EA"/>
    <w:rsid w:val="00620E23"/>
    <w:rsid w:val="006230E4"/>
    <w:rsid w:val="00624FB1"/>
    <w:rsid w:val="006267A0"/>
    <w:rsid w:val="00630CF0"/>
    <w:rsid w:val="00632517"/>
    <w:rsid w:val="00633B57"/>
    <w:rsid w:val="0063524E"/>
    <w:rsid w:val="00640125"/>
    <w:rsid w:val="006404DF"/>
    <w:rsid w:val="0064058C"/>
    <w:rsid w:val="00641E94"/>
    <w:rsid w:val="0064263B"/>
    <w:rsid w:val="00645636"/>
    <w:rsid w:val="00646E5A"/>
    <w:rsid w:val="0065447B"/>
    <w:rsid w:val="006549D3"/>
    <w:rsid w:val="00654B56"/>
    <w:rsid w:val="006604A2"/>
    <w:rsid w:val="006611F4"/>
    <w:rsid w:val="006620FF"/>
    <w:rsid w:val="006627EF"/>
    <w:rsid w:val="00664456"/>
    <w:rsid w:val="00667071"/>
    <w:rsid w:val="0067051D"/>
    <w:rsid w:val="006709C9"/>
    <w:rsid w:val="00671AE0"/>
    <w:rsid w:val="006727FB"/>
    <w:rsid w:val="00672D4E"/>
    <w:rsid w:val="006732AE"/>
    <w:rsid w:val="006736AA"/>
    <w:rsid w:val="00674335"/>
    <w:rsid w:val="00675BC2"/>
    <w:rsid w:val="00675E75"/>
    <w:rsid w:val="006770E0"/>
    <w:rsid w:val="006773CC"/>
    <w:rsid w:val="00686C54"/>
    <w:rsid w:val="00687067"/>
    <w:rsid w:val="00690590"/>
    <w:rsid w:val="006918CD"/>
    <w:rsid w:val="00692089"/>
    <w:rsid w:val="00694EE9"/>
    <w:rsid w:val="00697E0B"/>
    <w:rsid w:val="006A03A2"/>
    <w:rsid w:val="006A0A15"/>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62FF"/>
    <w:rsid w:val="006D017A"/>
    <w:rsid w:val="006D3903"/>
    <w:rsid w:val="006D599E"/>
    <w:rsid w:val="006D6856"/>
    <w:rsid w:val="006D7EF4"/>
    <w:rsid w:val="006E1071"/>
    <w:rsid w:val="006E4CFC"/>
    <w:rsid w:val="006E67D6"/>
    <w:rsid w:val="006F055E"/>
    <w:rsid w:val="006F3C58"/>
    <w:rsid w:val="006F5017"/>
    <w:rsid w:val="006F5178"/>
    <w:rsid w:val="006F7821"/>
    <w:rsid w:val="006F7824"/>
    <w:rsid w:val="00700940"/>
    <w:rsid w:val="00702425"/>
    <w:rsid w:val="007040FD"/>
    <w:rsid w:val="00705228"/>
    <w:rsid w:val="007113FF"/>
    <w:rsid w:val="00711516"/>
    <w:rsid w:val="0071199E"/>
    <w:rsid w:val="0071339C"/>
    <w:rsid w:val="007144DA"/>
    <w:rsid w:val="0071649F"/>
    <w:rsid w:val="00716849"/>
    <w:rsid w:val="007221E5"/>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C93"/>
    <w:rsid w:val="00746337"/>
    <w:rsid w:val="00746C49"/>
    <w:rsid w:val="00746CE1"/>
    <w:rsid w:val="00747948"/>
    <w:rsid w:val="0075090F"/>
    <w:rsid w:val="00750FB0"/>
    <w:rsid w:val="007516E0"/>
    <w:rsid w:val="00752F49"/>
    <w:rsid w:val="00753147"/>
    <w:rsid w:val="00753286"/>
    <w:rsid w:val="0075463B"/>
    <w:rsid w:val="0075511B"/>
    <w:rsid w:val="007571FF"/>
    <w:rsid w:val="00757883"/>
    <w:rsid w:val="00760C58"/>
    <w:rsid w:val="007648CC"/>
    <w:rsid w:val="007653AF"/>
    <w:rsid w:val="0076540B"/>
    <w:rsid w:val="00765816"/>
    <w:rsid w:val="007676F7"/>
    <w:rsid w:val="00770065"/>
    <w:rsid w:val="007718AB"/>
    <w:rsid w:val="00771CF1"/>
    <w:rsid w:val="00772A61"/>
    <w:rsid w:val="00772FB5"/>
    <w:rsid w:val="0077307C"/>
    <w:rsid w:val="00774513"/>
    <w:rsid w:val="00774BD6"/>
    <w:rsid w:val="0077604C"/>
    <w:rsid w:val="0077643F"/>
    <w:rsid w:val="00776F32"/>
    <w:rsid w:val="00776FFF"/>
    <w:rsid w:val="00780385"/>
    <w:rsid w:val="00780EC5"/>
    <w:rsid w:val="00781680"/>
    <w:rsid w:val="007822C7"/>
    <w:rsid w:val="0078299E"/>
    <w:rsid w:val="00782DFF"/>
    <w:rsid w:val="0078308D"/>
    <w:rsid w:val="00783647"/>
    <w:rsid w:val="007872DD"/>
    <w:rsid w:val="00790A92"/>
    <w:rsid w:val="0079133E"/>
    <w:rsid w:val="007914F7"/>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08E4"/>
    <w:rsid w:val="00813933"/>
    <w:rsid w:val="008141DC"/>
    <w:rsid w:val="00814259"/>
    <w:rsid w:val="008144F6"/>
    <w:rsid w:val="00814F69"/>
    <w:rsid w:val="00816A96"/>
    <w:rsid w:val="00817578"/>
    <w:rsid w:val="00817C42"/>
    <w:rsid w:val="00820D40"/>
    <w:rsid w:val="008223F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3223"/>
    <w:rsid w:val="008639A1"/>
    <w:rsid w:val="008655D1"/>
    <w:rsid w:val="00865655"/>
    <w:rsid w:val="0086581E"/>
    <w:rsid w:val="00867B4E"/>
    <w:rsid w:val="00867E92"/>
    <w:rsid w:val="00870B9D"/>
    <w:rsid w:val="0087352E"/>
    <w:rsid w:val="008745AA"/>
    <w:rsid w:val="008761A9"/>
    <w:rsid w:val="00876D78"/>
    <w:rsid w:val="00877551"/>
    <w:rsid w:val="008800E5"/>
    <w:rsid w:val="00880157"/>
    <w:rsid w:val="00880BF4"/>
    <w:rsid w:val="00880EDA"/>
    <w:rsid w:val="008812D3"/>
    <w:rsid w:val="008819C5"/>
    <w:rsid w:val="00882377"/>
    <w:rsid w:val="0088361A"/>
    <w:rsid w:val="00885FE1"/>
    <w:rsid w:val="0088742B"/>
    <w:rsid w:val="00890F73"/>
    <w:rsid w:val="0089108B"/>
    <w:rsid w:val="00893741"/>
    <w:rsid w:val="00895547"/>
    <w:rsid w:val="00897DC9"/>
    <w:rsid w:val="008A016B"/>
    <w:rsid w:val="008A0FB1"/>
    <w:rsid w:val="008A1743"/>
    <w:rsid w:val="008A27E9"/>
    <w:rsid w:val="008A3B6B"/>
    <w:rsid w:val="008A693F"/>
    <w:rsid w:val="008A6B16"/>
    <w:rsid w:val="008A7B18"/>
    <w:rsid w:val="008B0046"/>
    <w:rsid w:val="008B1BA4"/>
    <w:rsid w:val="008B21A5"/>
    <w:rsid w:val="008B4845"/>
    <w:rsid w:val="008B519B"/>
    <w:rsid w:val="008B6071"/>
    <w:rsid w:val="008C106D"/>
    <w:rsid w:val="008C16A0"/>
    <w:rsid w:val="008C2DBC"/>
    <w:rsid w:val="008C2E4D"/>
    <w:rsid w:val="008C37BE"/>
    <w:rsid w:val="008C4180"/>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616A"/>
    <w:rsid w:val="00907E2E"/>
    <w:rsid w:val="00907E7F"/>
    <w:rsid w:val="00910227"/>
    <w:rsid w:val="0091080E"/>
    <w:rsid w:val="009124FD"/>
    <w:rsid w:val="009127C0"/>
    <w:rsid w:val="00912CA3"/>
    <w:rsid w:val="00921A5E"/>
    <w:rsid w:val="00922B7D"/>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A6D"/>
    <w:rsid w:val="00941E97"/>
    <w:rsid w:val="009426B3"/>
    <w:rsid w:val="00942FAF"/>
    <w:rsid w:val="009437E9"/>
    <w:rsid w:val="00945A48"/>
    <w:rsid w:val="009508C5"/>
    <w:rsid w:val="00951619"/>
    <w:rsid w:val="009518C2"/>
    <w:rsid w:val="0095270D"/>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3EAE"/>
    <w:rsid w:val="0097434C"/>
    <w:rsid w:val="00975E82"/>
    <w:rsid w:val="00976260"/>
    <w:rsid w:val="009770FA"/>
    <w:rsid w:val="009803FE"/>
    <w:rsid w:val="009827D0"/>
    <w:rsid w:val="00983725"/>
    <w:rsid w:val="00990358"/>
    <w:rsid w:val="00990CE3"/>
    <w:rsid w:val="00992A76"/>
    <w:rsid w:val="00994646"/>
    <w:rsid w:val="009949F0"/>
    <w:rsid w:val="00995283"/>
    <w:rsid w:val="009A088C"/>
    <w:rsid w:val="009A25EF"/>
    <w:rsid w:val="009A2E57"/>
    <w:rsid w:val="009A3317"/>
    <w:rsid w:val="009A5D0D"/>
    <w:rsid w:val="009B11C6"/>
    <w:rsid w:val="009B17EA"/>
    <w:rsid w:val="009B2A3C"/>
    <w:rsid w:val="009B31AB"/>
    <w:rsid w:val="009B4B35"/>
    <w:rsid w:val="009B54D0"/>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CC3"/>
    <w:rsid w:val="00A15E3C"/>
    <w:rsid w:val="00A16AA1"/>
    <w:rsid w:val="00A17DCA"/>
    <w:rsid w:val="00A20D69"/>
    <w:rsid w:val="00A20E1E"/>
    <w:rsid w:val="00A214F8"/>
    <w:rsid w:val="00A227D8"/>
    <w:rsid w:val="00A23FB4"/>
    <w:rsid w:val="00A24FA4"/>
    <w:rsid w:val="00A250DE"/>
    <w:rsid w:val="00A26427"/>
    <w:rsid w:val="00A26AD2"/>
    <w:rsid w:val="00A26D8B"/>
    <w:rsid w:val="00A2796B"/>
    <w:rsid w:val="00A313FE"/>
    <w:rsid w:val="00A31F95"/>
    <w:rsid w:val="00A34EE3"/>
    <w:rsid w:val="00A36617"/>
    <w:rsid w:val="00A36740"/>
    <w:rsid w:val="00A37279"/>
    <w:rsid w:val="00A422F7"/>
    <w:rsid w:val="00A45131"/>
    <w:rsid w:val="00A47C0B"/>
    <w:rsid w:val="00A5075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104A"/>
    <w:rsid w:val="00A72386"/>
    <w:rsid w:val="00A751B3"/>
    <w:rsid w:val="00A75541"/>
    <w:rsid w:val="00A76464"/>
    <w:rsid w:val="00A77A22"/>
    <w:rsid w:val="00A809A2"/>
    <w:rsid w:val="00A80F1D"/>
    <w:rsid w:val="00A8105A"/>
    <w:rsid w:val="00A81C39"/>
    <w:rsid w:val="00A8245C"/>
    <w:rsid w:val="00A82E21"/>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CC8"/>
    <w:rsid w:val="00AA1DA2"/>
    <w:rsid w:val="00AA243E"/>
    <w:rsid w:val="00AA4B0B"/>
    <w:rsid w:val="00AA4CCC"/>
    <w:rsid w:val="00AA5533"/>
    <w:rsid w:val="00AA7E13"/>
    <w:rsid w:val="00AA7EA5"/>
    <w:rsid w:val="00AB1607"/>
    <w:rsid w:val="00AB28AE"/>
    <w:rsid w:val="00AB4DC5"/>
    <w:rsid w:val="00AB53FD"/>
    <w:rsid w:val="00AB6B0E"/>
    <w:rsid w:val="00AB6FD5"/>
    <w:rsid w:val="00AB723C"/>
    <w:rsid w:val="00AB772C"/>
    <w:rsid w:val="00AB78C6"/>
    <w:rsid w:val="00AC07F0"/>
    <w:rsid w:val="00AC22FA"/>
    <w:rsid w:val="00AC26FD"/>
    <w:rsid w:val="00AC461B"/>
    <w:rsid w:val="00AC63E2"/>
    <w:rsid w:val="00AD0CE9"/>
    <w:rsid w:val="00AD2679"/>
    <w:rsid w:val="00AD2B39"/>
    <w:rsid w:val="00AD468D"/>
    <w:rsid w:val="00AD51D1"/>
    <w:rsid w:val="00AD5B4C"/>
    <w:rsid w:val="00AD6D18"/>
    <w:rsid w:val="00AD7575"/>
    <w:rsid w:val="00AE0645"/>
    <w:rsid w:val="00AE2A25"/>
    <w:rsid w:val="00AE2A93"/>
    <w:rsid w:val="00AE4099"/>
    <w:rsid w:val="00AE5801"/>
    <w:rsid w:val="00AE7194"/>
    <w:rsid w:val="00AF0EB7"/>
    <w:rsid w:val="00AF31A7"/>
    <w:rsid w:val="00AF3E67"/>
    <w:rsid w:val="00AF4FEF"/>
    <w:rsid w:val="00AF7827"/>
    <w:rsid w:val="00AF7E75"/>
    <w:rsid w:val="00B00811"/>
    <w:rsid w:val="00B015A1"/>
    <w:rsid w:val="00B0361C"/>
    <w:rsid w:val="00B03C68"/>
    <w:rsid w:val="00B04EEC"/>
    <w:rsid w:val="00B050BA"/>
    <w:rsid w:val="00B05501"/>
    <w:rsid w:val="00B0575D"/>
    <w:rsid w:val="00B07008"/>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44D0"/>
    <w:rsid w:val="00B35F56"/>
    <w:rsid w:val="00B376CC"/>
    <w:rsid w:val="00B3772F"/>
    <w:rsid w:val="00B37ED5"/>
    <w:rsid w:val="00B40829"/>
    <w:rsid w:val="00B4146B"/>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6096"/>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54A4"/>
    <w:rsid w:val="00B85A36"/>
    <w:rsid w:val="00B86C1D"/>
    <w:rsid w:val="00B90CD5"/>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6BC3"/>
    <w:rsid w:val="00BB6FC9"/>
    <w:rsid w:val="00BC000C"/>
    <w:rsid w:val="00BC150A"/>
    <w:rsid w:val="00BC1974"/>
    <w:rsid w:val="00BC4B65"/>
    <w:rsid w:val="00BC4D6B"/>
    <w:rsid w:val="00BD021C"/>
    <w:rsid w:val="00BD0559"/>
    <w:rsid w:val="00BD0691"/>
    <w:rsid w:val="00BD16F1"/>
    <w:rsid w:val="00BD187A"/>
    <w:rsid w:val="00BD21A6"/>
    <w:rsid w:val="00BD3067"/>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359D"/>
    <w:rsid w:val="00C1431E"/>
    <w:rsid w:val="00C14B48"/>
    <w:rsid w:val="00C152FB"/>
    <w:rsid w:val="00C17DC0"/>
    <w:rsid w:val="00C17EF3"/>
    <w:rsid w:val="00C20E15"/>
    <w:rsid w:val="00C20FF2"/>
    <w:rsid w:val="00C2192B"/>
    <w:rsid w:val="00C224F2"/>
    <w:rsid w:val="00C22A54"/>
    <w:rsid w:val="00C24D0E"/>
    <w:rsid w:val="00C25C70"/>
    <w:rsid w:val="00C25D94"/>
    <w:rsid w:val="00C27F80"/>
    <w:rsid w:val="00C31319"/>
    <w:rsid w:val="00C32589"/>
    <w:rsid w:val="00C3258E"/>
    <w:rsid w:val="00C329BB"/>
    <w:rsid w:val="00C340B0"/>
    <w:rsid w:val="00C35186"/>
    <w:rsid w:val="00C35BB4"/>
    <w:rsid w:val="00C400A1"/>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5E4F"/>
    <w:rsid w:val="00C66CB7"/>
    <w:rsid w:val="00C71EA6"/>
    <w:rsid w:val="00C76221"/>
    <w:rsid w:val="00C77294"/>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A70"/>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07DB"/>
    <w:rsid w:val="00D31404"/>
    <w:rsid w:val="00D327AD"/>
    <w:rsid w:val="00D33ECB"/>
    <w:rsid w:val="00D348AF"/>
    <w:rsid w:val="00D351E4"/>
    <w:rsid w:val="00D40F70"/>
    <w:rsid w:val="00D42943"/>
    <w:rsid w:val="00D42BAB"/>
    <w:rsid w:val="00D4339F"/>
    <w:rsid w:val="00D45305"/>
    <w:rsid w:val="00D460B1"/>
    <w:rsid w:val="00D46D99"/>
    <w:rsid w:val="00D4704D"/>
    <w:rsid w:val="00D478BB"/>
    <w:rsid w:val="00D47E82"/>
    <w:rsid w:val="00D5002B"/>
    <w:rsid w:val="00D511CE"/>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C76"/>
    <w:rsid w:val="00D96294"/>
    <w:rsid w:val="00D96302"/>
    <w:rsid w:val="00DA441E"/>
    <w:rsid w:val="00DA57E1"/>
    <w:rsid w:val="00DA5B1D"/>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41F1"/>
    <w:rsid w:val="00DC5665"/>
    <w:rsid w:val="00DC57D5"/>
    <w:rsid w:val="00DC5C25"/>
    <w:rsid w:val="00DC7384"/>
    <w:rsid w:val="00DD18CF"/>
    <w:rsid w:val="00DD2547"/>
    <w:rsid w:val="00DD2A93"/>
    <w:rsid w:val="00DD42E4"/>
    <w:rsid w:val="00DD43F8"/>
    <w:rsid w:val="00DD5F36"/>
    <w:rsid w:val="00DD6880"/>
    <w:rsid w:val="00DD79D2"/>
    <w:rsid w:val="00DE0FD6"/>
    <w:rsid w:val="00DE259C"/>
    <w:rsid w:val="00DE59F8"/>
    <w:rsid w:val="00DF062E"/>
    <w:rsid w:val="00DF3A97"/>
    <w:rsid w:val="00DF3F20"/>
    <w:rsid w:val="00DF4EB2"/>
    <w:rsid w:val="00DF76FE"/>
    <w:rsid w:val="00E01BB3"/>
    <w:rsid w:val="00E0284F"/>
    <w:rsid w:val="00E02B1F"/>
    <w:rsid w:val="00E04379"/>
    <w:rsid w:val="00E077E3"/>
    <w:rsid w:val="00E110A2"/>
    <w:rsid w:val="00E1170B"/>
    <w:rsid w:val="00E12CA3"/>
    <w:rsid w:val="00E13804"/>
    <w:rsid w:val="00E14A86"/>
    <w:rsid w:val="00E17643"/>
    <w:rsid w:val="00E20351"/>
    <w:rsid w:val="00E20DB6"/>
    <w:rsid w:val="00E25182"/>
    <w:rsid w:val="00E25638"/>
    <w:rsid w:val="00E25AAF"/>
    <w:rsid w:val="00E2665F"/>
    <w:rsid w:val="00E26F0E"/>
    <w:rsid w:val="00E31382"/>
    <w:rsid w:val="00E3255E"/>
    <w:rsid w:val="00E33BB2"/>
    <w:rsid w:val="00E34AE6"/>
    <w:rsid w:val="00E34DF9"/>
    <w:rsid w:val="00E369E9"/>
    <w:rsid w:val="00E37CD4"/>
    <w:rsid w:val="00E400D3"/>
    <w:rsid w:val="00E40ECB"/>
    <w:rsid w:val="00E41938"/>
    <w:rsid w:val="00E442B2"/>
    <w:rsid w:val="00E46BBD"/>
    <w:rsid w:val="00E47340"/>
    <w:rsid w:val="00E520AD"/>
    <w:rsid w:val="00E52853"/>
    <w:rsid w:val="00E54647"/>
    <w:rsid w:val="00E57143"/>
    <w:rsid w:val="00E6249E"/>
    <w:rsid w:val="00E671B6"/>
    <w:rsid w:val="00E72327"/>
    <w:rsid w:val="00E73BCC"/>
    <w:rsid w:val="00E74BFE"/>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6F59"/>
    <w:rsid w:val="00EE7ED8"/>
    <w:rsid w:val="00EF01B0"/>
    <w:rsid w:val="00EF0339"/>
    <w:rsid w:val="00EF1E2F"/>
    <w:rsid w:val="00EF37ED"/>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1863"/>
    <w:rsid w:val="00F13997"/>
    <w:rsid w:val="00F13A07"/>
    <w:rsid w:val="00F13A33"/>
    <w:rsid w:val="00F13D5A"/>
    <w:rsid w:val="00F14CED"/>
    <w:rsid w:val="00F14FF9"/>
    <w:rsid w:val="00F157C0"/>
    <w:rsid w:val="00F15AEA"/>
    <w:rsid w:val="00F15B3B"/>
    <w:rsid w:val="00F16C28"/>
    <w:rsid w:val="00F21758"/>
    <w:rsid w:val="00F21F33"/>
    <w:rsid w:val="00F22740"/>
    <w:rsid w:val="00F24164"/>
    <w:rsid w:val="00F27442"/>
    <w:rsid w:val="00F3097C"/>
    <w:rsid w:val="00F330CA"/>
    <w:rsid w:val="00F3361A"/>
    <w:rsid w:val="00F348AC"/>
    <w:rsid w:val="00F34C91"/>
    <w:rsid w:val="00F37F56"/>
    <w:rsid w:val="00F40BE9"/>
    <w:rsid w:val="00F41428"/>
    <w:rsid w:val="00F421D2"/>
    <w:rsid w:val="00F43A18"/>
    <w:rsid w:val="00F46190"/>
    <w:rsid w:val="00F46A0F"/>
    <w:rsid w:val="00F46A12"/>
    <w:rsid w:val="00F46BDE"/>
    <w:rsid w:val="00F477A4"/>
    <w:rsid w:val="00F50D45"/>
    <w:rsid w:val="00F5148E"/>
    <w:rsid w:val="00F516B3"/>
    <w:rsid w:val="00F53162"/>
    <w:rsid w:val="00F537BF"/>
    <w:rsid w:val="00F53E5E"/>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847B1"/>
    <w:rsid w:val="00F8532E"/>
    <w:rsid w:val="00F91284"/>
    <w:rsid w:val="00F91374"/>
    <w:rsid w:val="00F93CB3"/>
    <w:rsid w:val="00F96D6C"/>
    <w:rsid w:val="00FA11AB"/>
    <w:rsid w:val="00FA158A"/>
    <w:rsid w:val="00FA31AB"/>
    <w:rsid w:val="00FA3B9B"/>
    <w:rsid w:val="00FA404C"/>
    <w:rsid w:val="00FA4E54"/>
    <w:rsid w:val="00FA5408"/>
    <w:rsid w:val="00FA5724"/>
    <w:rsid w:val="00FA5ADB"/>
    <w:rsid w:val="00FA779F"/>
    <w:rsid w:val="00FA77C7"/>
    <w:rsid w:val="00FB05F0"/>
    <w:rsid w:val="00FB1A5D"/>
    <w:rsid w:val="00FB2679"/>
    <w:rsid w:val="00FB3785"/>
    <w:rsid w:val="00FB485B"/>
    <w:rsid w:val="00FB50BE"/>
    <w:rsid w:val="00FB58D5"/>
    <w:rsid w:val="00FB643B"/>
    <w:rsid w:val="00FC137E"/>
    <w:rsid w:val="00FC34BE"/>
    <w:rsid w:val="00FC59B8"/>
    <w:rsid w:val="00FC6D73"/>
    <w:rsid w:val="00FC75EF"/>
    <w:rsid w:val="00FD06AB"/>
    <w:rsid w:val="00FD16C2"/>
    <w:rsid w:val="00FD1C9D"/>
    <w:rsid w:val="00FD32BF"/>
    <w:rsid w:val="00FD4A82"/>
    <w:rsid w:val="00FD5BED"/>
    <w:rsid w:val="00FD749F"/>
    <w:rsid w:val="00FE005B"/>
    <w:rsid w:val="00FE0648"/>
    <w:rsid w:val="00FE3911"/>
    <w:rsid w:val="00FE684F"/>
    <w:rsid w:val="00FE6C04"/>
    <w:rsid w:val="00FE7B2D"/>
    <w:rsid w:val="00FF02BF"/>
    <w:rsid w:val="00FF2DA9"/>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3"/>
    </o:shapelayout>
  </w:shapeDefaults>
  <w:decimalSymbol w:val=","/>
  <w:listSeparator w:val=";"/>
  <w14:docId w14:val="34F0803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5050</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ER</cp:lastModifiedBy>
  <cp:revision>287</cp:revision>
  <cp:lastPrinted>2020-02-05T14:19:00Z</cp:lastPrinted>
  <dcterms:created xsi:type="dcterms:W3CDTF">2017-07-10T11:03:00Z</dcterms:created>
  <dcterms:modified xsi:type="dcterms:W3CDTF">2023-06-29T19:52:00Z</dcterms:modified>
</cp:coreProperties>
</file>