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4A20BD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C147D0" w14:paraId="4A7B1A10" w14:textId="77777777" w:rsidTr="004A20BD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495D7662" w:rsidR="0071666D" w:rsidRPr="001B7EA4" w:rsidRDefault="00D83259" w:rsidP="00D96EF3">
            <w:pPr>
              <w:rPr>
                <w:rFonts w:cs="Arial"/>
              </w:rPr>
            </w:pPr>
            <w:r>
              <w:pict w14:anchorId="69665B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style="width:134.8pt;height:89.85pt;visibility:visible;mso-wrap-style:square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C4E0819" w14:textId="6C4CC70C" w:rsidR="00E5510F" w:rsidRPr="00E5510F" w:rsidRDefault="00C147D0" w:rsidP="00E5510F">
            <w:pPr>
              <w:rPr>
                <w:rFonts w:cs="Arial"/>
                <w:szCs w:val="22"/>
              </w:rPr>
            </w:pPr>
            <w:r>
              <w:t>RichardBrink_Intersolar2023_01</w:t>
            </w: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11C7657" w14:textId="475CA4CF" w:rsidR="008D6279" w:rsidRDefault="00501399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company Richard Brink presented its diverse range of solar substructures at the Intersolar Europe 2023 in Munich.</w:t>
            </w:r>
          </w:p>
          <w:p w14:paraId="30F4E4E6" w14:textId="77777777" w:rsidR="00501399" w:rsidRPr="001B7EA4" w:rsidRDefault="00501399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r>
              <w:t>Photo: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156F18" w14:paraId="6F3D96B4" w14:textId="77777777" w:rsidTr="004A20BD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0FA99125" w:rsidR="00090862" w:rsidRPr="001B7EA4" w:rsidRDefault="00D83259" w:rsidP="00223E19">
            <w:pPr>
              <w:rPr>
                <w:rFonts w:cs="Arial"/>
              </w:rPr>
            </w:pPr>
            <w:r>
              <w:pict w14:anchorId="1A3E1732">
                <v:shape id="Grafik 10" o:spid="_x0000_i1026" type="#_x0000_t75" style="width:134.8pt;height:89.85pt;visibility:visible;mso-wrap-style:square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72107A82" w14:textId="51986602" w:rsidR="00090862" w:rsidRPr="00090862" w:rsidRDefault="00C147D0" w:rsidP="00090862">
            <w:pPr>
              <w:rPr>
                <w:rFonts w:cs="Arial"/>
                <w:szCs w:val="22"/>
              </w:rPr>
            </w:pPr>
            <w:r>
              <w:t>RichardBrink_Intersolar2023_02</w:t>
            </w: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38CA6EDD" w14:textId="1D4D740B" w:rsidR="008D6279" w:rsidRDefault="00156F18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Interested visitors </w:t>
            </w:r>
            <w:r w:rsidR="00543CB1">
              <w:t>could</w:t>
            </w:r>
            <w:r>
              <w:t xml:space="preserve"> take a look at the time-proven solutions for east-west and south-facing installations and also see two brand new products at the well-frequented exhibition stand.</w:t>
            </w:r>
          </w:p>
          <w:p w14:paraId="73172196" w14:textId="77777777" w:rsidR="00156F18" w:rsidRPr="001B7EA4" w:rsidRDefault="00156F18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r>
              <w:t>Photo: Richard Brink GmbH &amp; Co. 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C147D0" w14:paraId="458E1C1C" w14:textId="77777777" w:rsidTr="004A20BD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2A2E22C3" w:rsidR="004B1CF3" w:rsidRPr="00077F78" w:rsidRDefault="00D83259">
            <w:pPr>
              <w:rPr>
                <w:rFonts w:cs="Arial"/>
              </w:rPr>
            </w:pPr>
            <w:r>
              <w:pict w14:anchorId="22931C4B">
                <v:shape id="Grafik 11" o:spid="_x0000_i1027" type="#_x0000_t75" style="width:134.8pt;height:89.85pt;visibility:visible;mso-wrap-style:square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2B7D4F0D" w:rsidR="004B1CF3" w:rsidRPr="001B7EA4" w:rsidRDefault="00C147D0" w:rsidP="0071667F">
            <w:pPr>
              <w:rPr>
                <w:rFonts w:cs="Arial"/>
                <w:szCs w:val="22"/>
              </w:rPr>
            </w:pPr>
            <w:r>
              <w:t>RichardBrink_Intersolar2023_03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807F9B9" w14:textId="5A2BE2A2" w:rsidR="00E5510F" w:rsidRDefault="00156F1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substructures produced by the metal products manufacturer, such as the </w:t>
            </w:r>
            <w:proofErr w:type="spellStart"/>
            <w:r>
              <w:t>Miralux</w:t>
            </w:r>
            <w:proofErr w:type="spellEnd"/>
            <w:r>
              <w:t xml:space="preserve"> Flex in the east-west version seen here, appeal with their ease of use thanks to their tool-free assembly.</w:t>
            </w:r>
          </w:p>
          <w:p w14:paraId="69870CBF" w14:textId="77777777" w:rsidR="00156F18" w:rsidRPr="001B7EA4" w:rsidRDefault="00156F1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r>
              <w:t>Photo: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077F78" w:rsidRPr="00C147D0" w14:paraId="3AF47ECA" w14:textId="77777777" w:rsidTr="004A20BD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188EA926" w:rsidR="00077F78" w:rsidRPr="00077F78" w:rsidRDefault="00D83259" w:rsidP="00E9077E">
            <w:pPr>
              <w:rPr>
                <w:rFonts w:cs="Arial"/>
              </w:rPr>
            </w:pPr>
            <w:r>
              <w:pict w14:anchorId="726BD9AD">
                <v:shape id="Grafik 12" o:spid="_x0000_i1028" type="#_x0000_t75" style="width:134.8pt;height:202.2pt;visibility:visible;mso-wrap-style:square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5F201964" w14:textId="2013091B" w:rsidR="00077F78" w:rsidRPr="00077F78" w:rsidRDefault="00C147D0" w:rsidP="00077F78">
            <w:pPr>
              <w:rPr>
                <w:rFonts w:cs="Arial"/>
              </w:rPr>
            </w:pPr>
            <w:r>
              <w:t>RichardBrink_Intersolar2023_04</w:t>
            </w: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3C7115F1" w14:textId="77777777" w:rsidR="00077F78" w:rsidRDefault="00077F78" w:rsidP="00077F78">
            <w:pPr>
              <w:rPr>
                <w:rFonts w:cs="Arial"/>
              </w:rPr>
            </w:pPr>
          </w:p>
          <w:p w14:paraId="5D7AFEC2" w14:textId="77777777" w:rsidR="00EE3488" w:rsidRDefault="00EE3488" w:rsidP="00077F78">
            <w:pPr>
              <w:rPr>
                <w:rFonts w:cs="Arial"/>
              </w:rPr>
            </w:pPr>
          </w:p>
          <w:p w14:paraId="674AE0E8" w14:textId="77777777" w:rsidR="00EE3488" w:rsidRDefault="00EE3488" w:rsidP="00077F78">
            <w:pPr>
              <w:rPr>
                <w:rFonts w:cs="Arial"/>
              </w:rPr>
            </w:pPr>
          </w:p>
          <w:p w14:paraId="0D8E2EAD" w14:textId="1ECC847A" w:rsidR="00EE3488" w:rsidRPr="00077F78" w:rsidRDefault="00EE348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E621DDD" w14:textId="47D7260A" w:rsidR="006E0515" w:rsidRDefault="00156F1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Richard Brink now includes flexible module clamps as standard </w:t>
            </w:r>
            <w:r w:rsidR="008E66C5">
              <w:rPr>
                <w:color w:val="000000"/>
              </w:rPr>
              <w:t>with</w:t>
            </w:r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color w:val="000000"/>
              </w:rPr>
              <w:t>Miralux</w:t>
            </w:r>
            <w:proofErr w:type="spellEnd"/>
            <w:r>
              <w:rPr>
                <w:color w:val="000000"/>
              </w:rPr>
              <w:t xml:space="preserve"> Flex solar substructures</w:t>
            </w:r>
            <w:r w:rsidR="00C01D19">
              <w:rPr>
                <w:color w:val="000000"/>
              </w:rPr>
              <w:t>, allowing</w:t>
            </w:r>
            <w:r>
              <w:rPr>
                <w:color w:val="000000"/>
              </w:rPr>
              <w:t xml:space="preserve"> all kinds of commercially available panel sizes to be fitted and adjusted, irrelevant of module manufacturer.</w:t>
            </w:r>
          </w:p>
          <w:p w14:paraId="0E79E305" w14:textId="77777777" w:rsidR="00156F18" w:rsidRPr="001B7EA4" w:rsidRDefault="00156F1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2672B4A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156F18" w14:paraId="6164D47D" w14:textId="77777777" w:rsidTr="004A20BD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7F1658DA" w:rsidR="00077F78" w:rsidRPr="001B7EA4" w:rsidRDefault="00D83259" w:rsidP="00E9077E">
            <w:pPr>
              <w:rPr>
                <w:rFonts w:cs="Arial"/>
              </w:rPr>
            </w:pPr>
            <w:r>
              <w:pict w14:anchorId="1605FB4C">
                <v:shape id="Grafik 13" o:spid="_x0000_i1029" type="#_x0000_t75" style="width:134.8pt;height:89.85pt;visibility:visible;mso-wrap-style:square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29B91051" w:rsidR="00077F78" w:rsidRPr="001B7EA4" w:rsidRDefault="00C147D0" w:rsidP="00E9077E">
            <w:pPr>
              <w:rPr>
                <w:rFonts w:cs="Arial"/>
              </w:rPr>
            </w:pPr>
            <w:r>
              <w:t>RichardBrink_Intersolar2023_05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477D3FC" w14:textId="26FD827B" w:rsidR="006E0515" w:rsidRDefault="00156F1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green-roof mounting systems, which expand the product portfolio for east-west-facing installations, attracted a lot of interest. They allow green roofs to be combined with photovoltaics – for existing green roofs and for new builds.</w:t>
            </w:r>
          </w:p>
          <w:p w14:paraId="2AE7355C" w14:textId="77777777" w:rsidR="00156F18" w:rsidRPr="001B7EA4" w:rsidRDefault="00156F1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A85FDC2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C147D0" w14:paraId="76A3E057" w14:textId="77777777" w:rsidTr="004A20BD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38728F73" w:rsidR="00077F78" w:rsidRPr="001B7EA4" w:rsidRDefault="00D83259" w:rsidP="00E9077E">
            <w:pPr>
              <w:rPr>
                <w:rFonts w:cs="Arial"/>
              </w:rPr>
            </w:pPr>
            <w:r>
              <w:pict w14:anchorId="0C8ABA96">
                <v:shape id="Grafik 14" o:spid="_x0000_i1030" type="#_x0000_t75" style="width:120.4pt;height:180.85pt;visibility:visible;mso-wrap-style:square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03B369DD" w:rsidR="00077F78" w:rsidRPr="001B7EA4" w:rsidRDefault="00C147D0" w:rsidP="00E9077E">
            <w:pPr>
              <w:rPr>
                <w:rFonts w:cs="Arial"/>
              </w:rPr>
            </w:pPr>
            <w:r>
              <w:t>RichardBrink_Intersolar2023_06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49B8A7" w14:textId="223685AE" w:rsidR="00077F78" w:rsidRDefault="00156F1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mounting system is secured directly under the substructure. Additional ballast blocks feature a raised section that can be screwed to the base of the substructure; the blocks are then subtly incorporated into the layer of planting.</w:t>
            </w:r>
          </w:p>
          <w:p w14:paraId="1183CDE8" w14:textId="77777777" w:rsidR="00156F18" w:rsidRPr="001B7EA4" w:rsidRDefault="00156F1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6F750092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D073A" w:rsidRPr="00C147D0" w14:paraId="5F828414" w14:textId="77777777" w:rsidTr="004A20BD">
        <w:trPr>
          <w:trHeight w:val="2821"/>
        </w:trPr>
        <w:tc>
          <w:tcPr>
            <w:tcW w:w="2835" w:type="dxa"/>
          </w:tcPr>
          <w:p w14:paraId="263C6955" w14:textId="77777777" w:rsidR="000D073A" w:rsidRPr="00627B7A" w:rsidRDefault="000D073A" w:rsidP="006C770C">
            <w:pPr>
              <w:rPr>
                <w:rFonts w:cs="Arial"/>
                <w:lang w:val="en-US"/>
              </w:rPr>
            </w:pPr>
          </w:p>
          <w:p w14:paraId="76A1B426" w14:textId="6232EEA1" w:rsidR="000D073A" w:rsidRDefault="00D83259" w:rsidP="006C770C">
            <w:pPr>
              <w:rPr>
                <w:rFonts w:cs="Arial"/>
              </w:rPr>
            </w:pPr>
            <w:r>
              <w:pict w14:anchorId="478B5D04">
                <v:shape id="Grafik 16" o:spid="_x0000_i1031" type="#_x0000_t75" style="width:134.8pt;height:89.85pt;visibility:visible;mso-wrap-style:square">
                  <v:imagedata r:id="rId13" o:title=""/>
                </v:shape>
              </w:pict>
            </w:r>
          </w:p>
          <w:p w14:paraId="34890094" w14:textId="77777777" w:rsidR="000D073A" w:rsidRPr="001B7EA4" w:rsidRDefault="000D073A" w:rsidP="006C770C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6E80177" w14:textId="77777777" w:rsidR="000D073A" w:rsidRPr="001B7EA4" w:rsidRDefault="000D073A" w:rsidP="006C770C">
            <w:pPr>
              <w:rPr>
                <w:rFonts w:cs="Arial"/>
              </w:rPr>
            </w:pPr>
          </w:p>
          <w:p w14:paraId="70B70989" w14:textId="72F053AA" w:rsidR="000D073A" w:rsidRPr="001B7EA4" w:rsidRDefault="00C147D0" w:rsidP="006C770C">
            <w:pPr>
              <w:rPr>
                <w:rFonts w:cs="Arial"/>
              </w:rPr>
            </w:pPr>
            <w:r>
              <w:t>RichardBrink_Intersolar2023_07</w:t>
            </w:r>
          </w:p>
        </w:tc>
        <w:tc>
          <w:tcPr>
            <w:tcW w:w="3814" w:type="dxa"/>
          </w:tcPr>
          <w:p w14:paraId="38F5C900" w14:textId="77777777" w:rsidR="000D073A" w:rsidRPr="001B7EA4" w:rsidRDefault="000D073A" w:rsidP="006C77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17FD80" w14:textId="4ADCA90E" w:rsidR="000D073A" w:rsidRDefault="00156F18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The new </w:t>
            </w:r>
            <w:proofErr w:type="spellStart"/>
            <w:r>
              <w:rPr>
                <w:color w:val="000000"/>
              </w:rPr>
              <w:t>Miralux</w:t>
            </w:r>
            <w:proofErr w:type="spellEnd"/>
            <w:r>
              <w:rPr>
                <w:color w:val="000000"/>
              </w:rPr>
              <w:t xml:space="preserve"> Green system for new builds unites green roof and substructure in one solid system.</w:t>
            </w:r>
          </w:p>
          <w:p w14:paraId="6F50881A" w14:textId="77777777" w:rsidR="00156F18" w:rsidRPr="001B7EA4" w:rsidRDefault="00156F18" w:rsidP="006C77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164DEE9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5C84818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D073A" w:rsidRPr="00C147D0" w14:paraId="46FD685A" w14:textId="77777777" w:rsidTr="004A20BD">
        <w:trPr>
          <w:trHeight w:val="2821"/>
        </w:trPr>
        <w:tc>
          <w:tcPr>
            <w:tcW w:w="2835" w:type="dxa"/>
          </w:tcPr>
          <w:p w14:paraId="2D11D86C" w14:textId="77777777" w:rsidR="000D073A" w:rsidRPr="00627B7A" w:rsidRDefault="000D073A" w:rsidP="006C770C">
            <w:pPr>
              <w:rPr>
                <w:rFonts w:cs="Arial"/>
                <w:lang w:val="en-US"/>
              </w:rPr>
            </w:pPr>
          </w:p>
          <w:p w14:paraId="20A862F4" w14:textId="77777777" w:rsidR="000D073A" w:rsidRPr="00C147D0" w:rsidRDefault="000D073A" w:rsidP="006C770C">
            <w:pPr>
              <w:rPr>
                <w:rFonts w:cs="Arial"/>
                <w:lang w:val="en-US"/>
              </w:rPr>
            </w:pPr>
          </w:p>
          <w:p w14:paraId="76E8FB8F" w14:textId="71C8ABE3" w:rsidR="000D073A" w:rsidRPr="001B7EA4" w:rsidRDefault="00D83259" w:rsidP="006C770C">
            <w:pPr>
              <w:rPr>
                <w:rFonts w:cs="Arial"/>
              </w:rPr>
            </w:pPr>
            <w:r>
              <w:pict w14:anchorId="18B749DC">
                <v:shape id="Grafik 17" o:spid="_x0000_i1032" type="#_x0000_t75" style="width:134.8pt;height:169.35pt;visibility:visible;mso-wrap-style:square">
                  <v:imagedata r:id="rId14" o:title=""/>
                </v:shape>
              </w:pict>
            </w:r>
          </w:p>
        </w:tc>
        <w:tc>
          <w:tcPr>
            <w:tcW w:w="2835" w:type="dxa"/>
          </w:tcPr>
          <w:p w14:paraId="6307A3BE" w14:textId="77777777" w:rsidR="000D073A" w:rsidRPr="001B7EA4" w:rsidRDefault="000D073A" w:rsidP="006C770C">
            <w:pPr>
              <w:rPr>
                <w:rFonts w:cs="Arial"/>
              </w:rPr>
            </w:pPr>
          </w:p>
          <w:p w14:paraId="3721A789" w14:textId="77777777" w:rsidR="000D073A" w:rsidRDefault="000D073A" w:rsidP="006C770C">
            <w:pPr>
              <w:rPr>
                <w:rFonts w:cs="Arial"/>
              </w:rPr>
            </w:pPr>
          </w:p>
          <w:p w14:paraId="2570B045" w14:textId="77777777" w:rsidR="000D073A" w:rsidRDefault="00C147D0" w:rsidP="006C770C">
            <w:pPr>
              <w:rPr>
                <w:rFonts w:cs="Arial"/>
              </w:rPr>
            </w:pPr>
            <w:r>
              <w:t>RichardBrink_Intersolar2023_08</w:t>
            </w:r>
          </w:p>
          <w:p w14:paraId="49C1C5FD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79ED06BA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3B8003DE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4AC8A5AD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2E044C39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1E4F42A6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1BA8EB89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2851E5D1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007A2DF3" w14:textId="77777777" w:rsidR="004A20BD" w:rsidRPr="004A20BD" w:rsidRDefault="004A20BD" w:rsidP="004A20BD">
            <w:pPr>
              <w:rPr>
                <w:rFonts w:cs="Arial"/>
              </w:rPr>
            </w:pPr>
          </w:p>
          <w:p w14:paraId="6D6CD0A9" w14:textId="77777777" w:rsidR="004A20BD" w:rsidRDefault="004A20BD" w:rsidP="004A20BD">
            <w:pPr>
              <w:rPr>
                <w:rFonts w:cs="Arial"/>
              </w:rPr>
            </w:pPr>
          </w:p>
          <w:p w14:paraId="73D87C96" w14:textId="77777777" w:rsidR="004A20BD" w:rsidRDefault="004A20BD" w:rsidP="004A20BD">
            <w:pPr>
              <w:ind w:firstLine="709"/>
              <w:rPr>
                <w:rFonts w:cs="Arial"/>
              </w:rPr>
            </w:pPr>
          </w:p>
          <w:p w14:paraId="212501BF" w14:textId="045629E1" w:rsidR="004A20BD" w:rsidRPr="004A20BD" w:rsidRDefault="004A20BD" w:rsidP="004A20BD">
            <w:pPr>
              <w:ind w:firstLine="709"/>
              <w:rPr>
                <w:rFonts w:cs="Arial"/>
              </w:rPr>
            </w:pPr>
          </w:p>
        </w:tc>
        <w:tc>
          <w:tcPr>
            <w:tcW w:w="3814" w:type="dxa"/>
          </w:tcPr>
          <w:p w14:paraId="23C0C119" w14:textId="77777777" w:rsidR="000D073A" w:rsidRPr="001B7EA4" w:rsidRDefault="000D073A" w:rsidP="006C77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CA537" w14:textId="77777777" w:rsidR="000D073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580C618D" w14:textId="653034F3" w:rsidR="000D073A" w:rsidRDefault="00156F18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Thanks to the use of supporting bases and all-over glass fibre mesh, the roof planting also provides ballast for the solar substructure.</w:t>
            </w:r>
          </w:p>
          <w:p w14:paraId="5668A702" w14:textId="77777777" w:rsidR="00156F18" w:rsidRPr="001B7EA4" w:rsidRDefault="00156F18" w:rsidP="006C77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6E074BFD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28FB2D16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077F78" w14:paraId="4DDEB1F1" w14:textId="77777777" w:rsidTr="004A20BD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3BA00185" w:rsidR="00A03345" w:rsidRDefault="00D83259" w:rsidP="00302DC4">
            <w:pPr>
              <w:rPr>
                <w:rFonts w:cs="Arial"/>
              </w:rPr>
            </w:pPr>
            <w:r>
              <w:pict w14:anchorId="44BA7715">
                <v:shape id="Grafik 18" o:spid="_x0000_i1033" type="#_x0000_t75" style="width:134.8pt;height:89.85pt;visibility:visible;mso-wrap-style:square">
                  <v:imagedata r:id="rId15" o:title=""/>
                </v:shape>
              </w:pict>
            </w:r>
          </w:p>
          <w:p w14:paraId="656BA40F" w14:textId="43C11509" w:rsidR="00550FDA" w:rsidRPr="001B7EA4" w:rsidRDefault="00550FDA" w:rsidP="00302DC4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DB38F32" w:rsidR="00A03345" w:rsidRPr="001B7EA4" w:rsidRDefault="00C147D0" w:rsidP="00302DC4">
            <w:pPr>
              <w:rPr>
                <w:rFonts w:cs="Arial"/>
              </w:rPr>
            </w:pPr>
            <w:r>
              <w:t>RichardBrink_Intersolar2023_09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230821E" w14:textId="670930A2" w:rsidR="006A2D2C" w:rsidRDefault="00156F18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Over the course of the three-day event, the Richard Brink team w</w:t>
            </w:r>
            <w:r w:rsidR="00FF4E2F">
              <w:rPr>
                <w:color w:val="000000"/>
              </w:rPr>
              <w:t>ere</w:t>
            </w:r>
            <w:r>
              <w:rPr>
                <w:color w:val="000000"/>
              </w:rPr>
              <w:t xml:space="preserve"> on hand to help and advise the international trade visitors. The trade fair offered a perfect setting for individual consultations and face-to-face conversations at the stand.</w:t>
            </w:r>
          </w:p>
          <w:p w14:paraId="7461EC99" w14:textId="77777777" w:rsidR="00156F18" w:rsidRPr="001B7EA4" w:rsidRDefault="00156F18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8114" w14:textId="77777777" w:rsidR="00021298" w:rsidRDefault="0002129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006FA73" w14:textId="77777777" w:rsidR="00021298" w:rsidRDefault="0002129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8836" w14:textId="77777777" w:rsidR="00021298" w:rsidRDefault="0002129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DC66EDD" w14:textId="77777777" w:rsidR="00021298" w:rsidRDefault="0002129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D83259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7pt;height:63.05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D83259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alt="Logo Richard Brink GmbH und Co" style="width:106.55pt;height:55.8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D83259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1298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D073A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56F1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20BD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1399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3CB1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699B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08E5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579C0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E66C5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86E58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01D19"/>
    <w:rsid w:val="00C1163D"/>
    <w:rsid w:val="00C147D0"/>
    <w:rsid w:val="00C161F8"/>
    <w:rsid w:val="00C17184"/>
    <w:rsid w:val="00C2030E"/>
    <w:rsid w:val="00C31339"/>
    <w:rsid w:val="00C3181B"/>
    <w:rsid w:val="00C40050"/>
    <w:rsid w:val="00C408EC"/>
    <w:rsid w:val="00C44AC6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83259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56360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3488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4E2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349</Words>
  <Characters>2069</Characters>
  <Application>Microsoft Office Word</Application>
  <DocSecurity>0</DocSecurity>
  <Lines>206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21</cp:revision>
  <cp:lastPrinted>2020-02-06T07:50:00Z</cp:lastPrinted>
  <dcterms:created xsi:type="dcterms:W3CDTF">2022-06-10T10:32:00Z</dcterms:created>
  <dcterms:modified xsi:type="dcterms:W3CDTF">2023-06-30T10:19:00Z</dcterms:modified>
</cp:coreProperties>
</file>