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CDB8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592402F" w14:textId="77777777" w:rsidTr="005A56A2">
        <w:trPr>
          <w:trHeight w:val="602"/>
        </w:trPr>
        <w:tc>
          <w:tcPr>
            <w:tcW w:w="2835" w:type="dxa"/>
          </w:tcPr>
          <w:p w14:paraId="3C80D9E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</w:tcPr>
          <w:p w14:paraId="3634F08D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</w:tcPr>
          <w:p w14:paraId="27FD2572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627B7A" w14:paraId="680E3879" w14:textId="77777777" w:rsidTr="005A56A2">
        <w:trPr>
          <w:trHeight w:val="2821"/>
        </w:trPr>
        <w:tc>
          <w:tcPr>
            <w:tcW w:w="2835" w:type="dxa"/>
          </w:tcPr>
          <w:p w14:paraId="46B526A3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9813B5" w14:textId="69E3002D" w:rsidR="00D414E5" w:rsidRPr="00D414E5" w:rsidRDefault="00E70627" w:rsidP="00D414E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48AB2A3" wp14:editId="1A7ED725">
                  <wp:extent cx="1711325" cy="1492885"/>
                  <wp:effectExtent l="0" t="0" r="3175" b="5715"/>
                  <wp:docPr id="4026822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82223" name="Grafik 40268222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B38CE1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D46F8D5" w14:textId="6FB3ADF8" w:rsidR="00D414E5" w:rsidRPr="00D414E5" w:rsidRDefault="00E70627" w:rsidP="00D414E5">
            <w:pPr>
              <w:rPr>
                <w:rFonts w:cs="Arial"/>
                <w:szCs w:val="22"/>
              </w:rPr>
            </w:pPr>
            <w:r w:rsidRPr="00E70627">
              <w:rPr>
                <w:rFonts w:cs="Arial"/>
              </w:rPr>
              <w:t>RichardBrink_Miralux-System_01</w:t>
            </w:r>
          </w:p>
        </w:tc>
        <w:tc>
          <w:tcPr>
            <w:tcW w:w="3814" w:type="dxa"/>
          </w:tcPr>
          <w:p w14:paraId="56C4F139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66FCA2" w14:textId="1F7F63EB" w:rsidR="004373D2" w:rsidRDefault="00E70627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Die Firma Richard Brink hat ihr Sortiment rund um die Solarunterkonstruktionen „</w:t>
            </w:r>
            <w:proofErr w:type="spellStart"/>
            <w:r>
              <w:rPr>
                <w:rFonts w:cs="Arial"/>
                <w:color w:val="000000"/>
                <w:szCs w:val="22"/>
              </w:rPr>
              <w:t>Miralux</w:t>
            </w:r>
            <w:proofErr w:type="spellEnd"/>
            <w:r>
              <w:rPr>
                <w:rFonts w:cs="Arial"/>
                <w:color w:val="000000"/>
                <w:szCs w:val="22"/>
              </w:rPr>
              <w:t>“ weiter ausgebaut.</w:t>
            </w:r>
          </w:p>
          <w:p w14:paraId="75F6C663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725C79E" w14:textId="77777777" w:rsidR="00D96EF3" w:rsidRDefault="00D96EF3" w:rsidP="00D96EF3">
            <w:pPr>
              <w:rPr>
                <w:lang w:val="en-US"/>
              </w:rPr>
            </w:pPr>
            <w:proofErr w:type="spellStart"/>
            <w:r w:rsidRPr="00801C4B">
              <w:rPr>
                <w:lang w:val="en-US"/>
              </w:rPr>
              <w:t>Foto</w:t>
            </w:r>
            <w:proofErr w:type="spellEnd"/>
            <w:r w:rsidRPr="00801C4B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1F67B16C" w14:textId="77777777" w:rsidR="00D414E5" w:rsidRPr="00D414E5" w:rsidRDefault="00D414E5" w:rsidP="00D414E5">
            <w:pPr>
              <w:rPr>
                <w:lang w:val="en-US"/>
              </w:rPr>
            </w:pPr>
          </w:p>
        </w:tc>
      </w:tr>
      <w:tr w:rsidR="004B1CF3" w:rsidRPr="00D414E5" w14:paraId="60F04C6E" w14:textId="77777777" w:rsidTr="005A56A2">
        <w:trPr>
          <w:trHeight w:val="2821"/>
        </w:trPr>
        <w:tc>
          <w:tcPr>
            <w:tcW w:w="2835" w:type="dxa"/>
          </w:tcPr>
          <w:p w14:paraId="04997BA9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0F29C5FC" w14:textId="4A65D93F" w:rsidR="004B1CF3" w:rsidRPr="001B7EA4" w:rsidRDefault="00E7062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04C236F" wp14:editId="0D3DD86B">
                  <wp:extent cx="1711325" cy="1141095"/>
                  <wp:effectExtent l="0" t="0" r="3175" b="1905"/>
                  <wp:docPr id="76777929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79299" name="Grafik 76777929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09D01E1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7F85C8D" w14:textId="49E3B6D5" w:rsidR="00D414E5" w:rsidRPr="00D414E5" w:rsidRDefault="00E70627" w:rsidP="00D414E5">
            <w:pPr>
              <w:rPr>
                <w:rFonts w:cs="Arial"/>
                <w:szCs w:val="22"/>
              </w:rPr>
            </w:pPr>
            <w:r w:rsidRPr="00E70627">
              <w:rPr>
                <w:rFonts w:cs="Arial"/>
              </w:rPr>
              <w:t>RichardBrink_Miralux-System_0</w:t>
            </w:r>
            <w:r>
              <w:rPr>
                <w:rFonts w:cs="Arial"/>
              </w:rPr>
              <w:t>2</w:t>
            </w:r>
          </w:p>
          <w:p w14:paraId="6E036317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2FD4957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9F35C4F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2829040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488CB618" w14:textId="77777777" w:rsidR="00D414E5" w:rsidRPr="00D414E5" w:rsidRDefault="00D414E5" w:rsidP="00D414E5">
            <w:pPr>
              <w:tabs>
                <w:tab w:val="left" w:pos="455"/>
              </w:tabs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93294FA" w14:textId="77777777" w:rsidR="00D414E5" w:rsidRPr="008E33A9" w:rsidRDefault="00D414E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48A27FF" w14:textId="5AD941D3" w:rsidR="00E5510F" w:rsidRPr="00D414E5" w:rsidRDefault="00E70627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Sowohl in der hier abgebildeten Ost-West-Ausrichtung als auch in der Süd-Aufständerung verfügen die Unterkonstruktionen ab sofort standardmäßig über flexible Modulklemmen.</w:t>
            </w:r>
          </w:p>
          <w:p w14:paraId="432D07B3" w14:textId="77777777" w:rsidR="00D414E5" w:rsidRPr="00D414E5" w:rsidRDefault="00D414E5" w:rsidP="00E7049E"/>
          <w:p w14:paraId="318D425C" w14:textId="77777777" w:rsidR="00E7049E" w:rsidRDefault="00E7049E" w:rsidP="00E7049E">
            <w:pPr>
              <w:rPr>
                <w:lang w:val="en-US"/>
              </w:rPr>
            </w:pPr>
            <w:proofErr w:type="spellStart"/>
            <w:r w:rsidRPr="004373D2">
              <w:rPr>
                <w:lang w:val="en-US"/>
              </w:rPr>
              <w:t>Foto</w:t>
            </w:r>
            <w:proofErr w:type="spellEnd"/>
            <w:r w:rsidRPr="004373D2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13377F38" w14:textId="77777777" w:rsidR="0022371B" w:rsidRDefault="0022371B" w:rsidP="00E7049E">
            <w:pPr>
              <w:rPr>
                <w:lang w:val="en-US"/>
              </w:rPr>
            </w:pPr>
          </w:p>
          <w:p w14:paraId="531838DF" w14:textId="77777777" w:rsidR="0022371B" w:rsidRDefault="0022371B" w:rsidP="00E7049E">
            <w:pPr>
              <w:rPr>
                <w:lang w:val="en-US"/>
              </w:rPr>
            </w:pPr>
          </w:p>
          <w:p w14:paraId="634A9F52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40CF049A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4D93758D" w14:textId="77777777" w:rsidTr="005A56A2">
        <w:trPr>
          <w:trHeight w:val="2821"/>
        </w:trPr>
        <w:tc>
          <w:tcPr>
            <w:tcW w:w="2835" w:type="dxa"/>
          </w:tcPr>
          <w:p w14:paraId="7DB0F28C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0855D5DB" w14:textId="41D7EDDB" w:rsidR="00972C40" w:rsidRPr="001B7EA4" w:rsidRDefault="00E70627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3CCBEEE" wp14:editId="1968460A">
                  <wp:extent cx="1711325" cy="1141095"/>
                  <wp:effectExtent l="0" t="0" r="3175" b="1905"/>
                  <wp:docPr id="27438675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86756" name="Grafik 27438675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FF9E2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97B9BC1" w14:textId="0A414C31" w:rsidR="00D414E5" w:rsidRPr="00D414E5" w:rsidRDefault="00E70627" w:rsidP="00D414E5">
            <w:pPr>
              <w:rPr>
                <w:rFonts w:cs="Arial"/>
                <w:szCs w:val="22"/>
              </w:rPr>
            </w:pPr>
            <w:r w:rsidRPr="00E70627">
              <w:rPr>
                <w:rFonts w:cs="Arial"/>
              </w:rPr>
              <w:t>RichardBrink_Miralux-System_0</w:t>
            </w:r>
            <w:r>
              <w:rPr>
                <w:rFonts w:cs="Arial"/>
              </w:rPr>
              <w:t>3</w:t>
            </w:r>
          </w:p>
          <w:p w14:paraId="6612F8D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00E1B6D0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E2F0773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D3DC855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63B2624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63314F0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0B6F734" w14:textId="1CD1BDE6" w:rsidR="00972C40" w:rsidRDefault="00E70627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Die unter dem Namen „</w:t>
            </w:r>
            <w:proofErr w:type="spellStart"/>
            <w:r>
              <w:rPr>
                <w:rFonts w:cs="Arial"/>
                <w:bCs/>
                <w:color w:val="000000"/>
                <w:szCs w:val="22"/>
              </w:rPr>
              <w:t>Miralux</w:t>
            </w:r>
            <w:proofErr w:type="spellEnd"/>
            <w:r>
              <w:rPr>
                <w:rFonts w:cs="Arial"/>
                <w:bCs/>
                <w:color w:val="000000"/>
                <w:szCs w:val="22"/>
              </w:rPr>
              <w:t xml:space="preserve"> Flex“ geführten Systeme er</w:t>
            </w:r>
            <w:r w:rsidR="003C179C">
              <w:rPr>
                <w:rFonts w:cs="Arial"/>
                <w:bCs/>
                <w:color w:val="000000"/>
                <w:szCs w:val="22"/>
              </w:rPr>
              <w:t>möglichen</w:t>
            </w:r>
            <w:r>
              <w:rPr>
                <w:rFonts w:cs="Arial"/>
                <w:bCs/>
                <w:color w:val="000000"/>
                <w:szCs w:val="22"/>
              </w:rPr>
              <w:t xml:space="preserve"> die variable Aufnahme diverser marktüblicher Panelgrößen.</w:t>
            </w:r>
          </w:p>
          <w:p w14:paraId="363672B0" w14:textId="77777777" w:rsidR="00E62CCC" w:rsidRPr="001B7EA4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1DA99E2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A4E6C0A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08D57424" w14:textId="77777777" w:rsidTr="005A56A2">
        <w:trPr>
          <w:trHeight w:val="2821"/>
        </w:trPr>
        <w:tc>
          <w:tcPr>
            <w:tcW w:w="2835" w:type="dxa"/>
          </w:tcPr>
          <w:p w14:paraId="583CE990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33D91FF7" w14:textId="5680D155" w:rsidR="00E70627" w:rsidRPr="001B7EA4" w:rsidRDefault="00E70627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6EB7BC7" wp14:editId="7D00B2F3">
                  <wp:extent cx="1711325" cy="1201420"/>
                  <wp:effectExtent l="0" t="0" r="3175" b="5080"/>
                  <wp:docPr id="18066045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60450" name="Grafik 1806604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BAC1ABA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417FA609" w14:textId="5CDA040B" w:rsidR="00E70627" w:rsidRPr="00D97348" w:rsidRDefault="00E70627" w:rsidP="002C345C">
            <w:pPr>
              <w:rPr>
                <w:rFonts w:cs="Arial"/>
                <w:szCs w:val="22"/>
              </w:rPr>
            </w:pPr>
            <w:r w:rsidRPr="00E70627">
              <w:rPr>
                <w:rFonts w:cs="Arial"/>
              </w:rPr>
              <w:t>RichardBrink_Miralux-System_0</w:t>
            </w:r>
            <w:r>
              <w:rPr>
                <w:rFonts w:cs="Arial"/>
              </w:rPr>
              <w:t>4</w:t>
            </w:r>
          </w:p>
          <w:p w14:paraId="59117EA2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0F34051D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59B4F177" w14:textId="77777777" w:rsidR="00E70627" w:rsidRDefault="00E70627" w:rsidP="002C345C">
            <w:pPr>
              <w:rPr>
                <w:rFonts w:cs="Arial"/>
              </w:rPr>
            </w:pPr>
          </w:p>
          <w:p w14:paraId="0DA04A76" w14:textId="77777777" w:rsidR="00E70627" w:rsidRDefault="00E70627" w:rsidP="002C345C">
            <w:pPr>
              <w:rPr>
                <w:rFonts w:cs="Arial"/>
              </w:rPr>
            </w:pPr>
          </w:p>
          <w:p w14:paraId="59553761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53A6C04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D4E9EE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C321E3D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9BEF7B4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E31A3D0" w14:textId="07BC4F16" w:rsidR="00E70627" w:rsidRDefault="00E70627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Der durchdringungsfreie Aufbau bei einfacher Handhabung erlaubt eine schnelle und sichere Montage der Solarunterkonstruktionen.</w:t>
            </w:r>
          </w:p>
          <w:p w14:paraId="216619DD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4FAE8B5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08BE5527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42F40746" w14:textId="77777777" w:rsidTr="005A56A2">
        <w:trPr>
          <w:trHeight w:val="2821"/>
        </w:trPr>
        <w:tc>
          <w:tcPr>
            <w:tcW w:w="2835" w:type="dxa"/>
          </w:tcPr>
          <w:p w14:paraId="7FD53AAD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3239087E" w14:textId="059B3719" w:rsidR="00E70627" w:rsidRPr="001B7EA4" w:rsidRDefault="00E70627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E9D616C" wp14:editId="3586FFAB">
                  <wp:extent cx="1711325" cy="1141095"/>
                  <wp:effectExtent l="0" t="0" r="3175" b="1905"/>
                  <wp:docPr id="154844535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445350" name="Grafik 154844535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107972C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3A19424B" w14:textId="3556A513" w:rsidR="00E70627" w:rsidRPr="00D97348" w:rsidRDefault="00E70627" w:rsidP="002C345C">
            <w:pPr>
              <w:rPr>
                <w:rFonts w:cs="Arial"/>
                <w:szCs w:val="22"/>
              </w:rPr>
            </w:pPr>
            <w:r w:rsidRPr="00E70627">
              <w:rPr>
                <w:rFonts w:cs="Arial"/>
              </w:rPr>
              <w:t>RichardBrink_Miralux-System_0</w:t>
            </w:r>
            <w:r>
              <w:rPr>
                <w:rFonts w:cs="Arial"/>
              </w:rPr>
              <w:t>5</w:t>
            </w:r>
          </w:p>
          <w:p w14:paraId="76111401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083965A0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1CFC56F6" w14:textId="77777777" w:rsidR="00E70627" w:rsidRDefault="00E70627" w:rsidP="002C345C">
            <w:pPr>
              <w:rPr>
                <w:rFonts w:cs="Arial"/>
              </w:rPr>
            </w:pPr>
          </w:p>
          <w:p w14:paraId="17A0D8D0" w14:textId="77777777" w:rsidR="00E70627" w:rsidRDefault="00E70627" w:rsidP="002C345C">
            <w:pPr>
              <w:rPr>
                <w:rFonts w:cs="Arial"/>
              </w:rPr>
            </w:pPr>
          </w:p>
          <w:p w14:paraId="10AA54F2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1896FE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4097B0CA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665F932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115B566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8DCF9C7" w14:textId="4BE4557A" w:rsidR="00E70627" w:rsidRDefault="00E70627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Zwei Varianten von </w:t>
            </w:r>
            <w:proofErr w:type="spellStart"/>
            <w:r>
              <w:rPr>
                <w:rFonts w:cs="Arial"/>
                <w:bCs/>
                <w:color w:val="000000"/>
                <w:szCs w:val="22"/>
              </w:rPr>
              <w:t>Ballastierungssteinen</w:t>
            </w:r>
            <w:proofErr w:type="spellEnd"/>
            <w:r>
              <w:rPr>
                <w:rFonts w:cs="Arial"/>
                <w:bCs/>
                <w:color w:val="000000"/>
                <w:szCs w:val="22"/>
              </w:rPr>
              <w:t xml:space="preserve"> mit einer Grundfläche von 400 mm x 400 mm stellen eine lagesichere Aufstellung sicher. Diese quadratische Ausführung wiegt 34 kg.</w:t>
            </w:r>
          </w:p>
          <w:p w14:paraId="7066F419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8AF54C0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3C179C">
              <w:rPr>
                <w:rFonts w:cs="Arial"/>
                <w:color w:val="000000"/>
                <w:szCs w:val="22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953125B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5C9D0577" w14:textId="77777777" w:rsidTr="005A56A2">
        <w:trPr>
          <w:trHeight w:val="2821"/>
        </w:trPr>
        <w:tc>
          <w:tcPr>
            <w:tcW w:w="2835" w:type="dxa"/>
          </w:tcPr>
          <w:p w14:paraId="26C7D695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5B7FD6E9" w14:textId="106AE81D" w:rsidR="00E70627" w:rsidRPr="001B7EA4" w:rsidRDefault="00E70627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057568E" wp14:editId="25A9B4B2">
                  <wp:extent cx="1711325" cy="1141095"/>
                  <wp:effectExtent l="0" t="0" r="3175" b="1905"/>
                  <wp:docPr id="101383734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37340" name="Grafik 101383734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649F1B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0EAA8E78" w14:textId="68378AFC" w:rsidR="00E70627" w:rsidRPr="00D97348" w:rsidRDefault="00E70627" w:rsidP="002C345C">
            <w:pPr>
              <w:rPr>
                <w:rFonts w:cs="Arial"/>
                <w:szCs w:val="22"/>
              </w:rPr>
            </w:pPr>
            <w:r w:rsidRPr="00E70627">
              <w:rPr>
                <w:rFonts w:cs="Arial"/>
              </w:rPr>
              <w:t>RichardBrink_Miralux-System_0</w:t>
            </w:r>
            <w:r>
              <w:rPr>
                <w:rFonts w:cs="Arial"/>
              </w:rPr>
              <w:t>6</w:t>
            </w:r>
          </w:p>
          <w:p w14:paraId="4028558E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6666F8C2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176211F5" w14:textId="77777777" w:rsidR="00E70627" w:rsidRDefault="00E70627" w:rsidP="002C345C">
            <w:pPr>
              <w:rPr>
                <w:rFonts w:cs="Arial"/>
              </w:rPr>
            </w:pPr>
          </w:p>
          <w:p w14:paraId="28579190" w14:textId="77777777" w:rsidR="00E70627" w:rsidRDefault="00E70627" w:rsidP="002C345C">
            <w:pPr>
              <w:rPr>
                <w:rFonts w:cs="Arial"/>
              </w:rPr>
            </w:pPr>
          </w:p>
          <w:p w14:paraId="4278059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17A9E17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280F88F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70700F6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2BCE044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2F47722" w14:textId="2CAA359A" w:rsidR="00E70627" w:rsidRDefault="00E70627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Das 16 kg schwere Modell mit flacher Bodenplatte eignet sich besonders zur Einbringung in Kies</w:t>
            </w:r>
            <w:r w:rsidR="00170040">
              <w:rPr>
                <w:rFonts w:cs="Arial"/>
                <w:bCs/>
                <w:color w:val="000000"/>
                <w:szCs w:val="22"/>
              </w:rPr>
              <w:t>-</w:t>
            </w:r>
            <w:r>
              <w:rPr>
                <w:rFonts w:cs="Arial"/>
                <w:bCs/>
                <w:color w:val="000000"/>
                <w:szCs w:val="22"/>
              </w:rPr>
              <w:t xml:space="preserve"> oder Gründächer.</w:t>
            </w:r>
          </w:p>
          <w:p w14:paraId="778B1270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D4F50A5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6D5A162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340F496E" w14:textId="77777777" w:rsidTr="005A56A2">
        <w:trPr>
          <w:trHeight w:val="2821"/>
        </w:trPr>
        <w:tc>
          <w:tcPr>
            <w:tcW w:w="2835" w:type="dxa"/>
          </w:tcPr>
          <w:p w14:paraId="0EE79068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649BA804" w14:textId="123D8763" w:rsidR="00E70627" w:rsidRPr="001B7EA4" w:rsidRDefault="00E70627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D7F9424" wp14:editId="0E52AF7B">
                  <wp:extent cx="1711325" cy="1141095"/>
                  <wp:effectExtent l="0" t="0" r="3175" b="1905"/>
                  <wp:docPr id="19519392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93924" name="Grafik 19519392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289912C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501281D5" w14:textId="1143068B" w:rsidR="00E70627" w:rsidRPr="00D97348" w:rsidRDefault="00E70627" w:rsidP="002C345C">
            <w:pPr>
              <w:rPr>
                <w:rFonts w:cs="Arial"/>
                <w:szCs w:val="22"/>
              </w:rPr>
            </w:pPr>
            <w:r w:rsidRPr="00E70627">
              <w:rPr>
                <w:rFonts w:cs="Arial"/>
              </w:rPr>
              <w:t>RichardBrink_Miralux-System_0</w:t>
            </w:r>
            <w:r>
              <w:rPr>
                <w:rFonts w:cs="Arial"/>
              </w:rPr>
              <w:t>7</w:t>
            </w:r>
          </w:p>
          <w:p w14:paraId="710BB745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6982CBAC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59CC7E31" w14:textId="77777777" w:rsidR="00E70627" w:rsidRDefault="00E70627" w:rsidP="002C345C">
            <w:pPr>
              <w:rPr>
                <w:rFonts w:cs="Arial"/>
              </w:rPr>
            </w:pPr>
          </w:p>
          <w:p w14:paraId="15120F8B" w14:textId="77777777" w:rsidR="00E70627" w:rsidRDefault="00E70627" w:rsidP="002C345C">
            <w:pPr>
              <w:rPr>
                <w:rFonts w:cs="Arial"/>
              </w:rPr>
            </w:pPr>
          </w:p>
          <w:p w14:paraId="70EB16FE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05DE03C4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143227D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78ED64C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DC006FD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AD8E89D" w14:textId="65428940" w:rsidR="00E70627" w:rsidRDefault="00E70627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Die </w:t>
            </w:r>
            <w:proofErr w:type="spellStart"/>
            <w:r>
              <w:rPr>
                <w:rFonts w:cs="Arial"/>
                <w:bCs/>
                <w:color w:val="000000"/>
                <w:szCs w:val="22"/>
              </w:rPr>
              <w:t>Ballastierungssteine</w:t>
            </w:r>
            <w:proofErr w:type="spellEnd"/>
            <w:r>
              <w:rPr>
                <w:rFonts w:cs="Arial"/>
                <w:bCs/>
                <w:color w:val="000000"/>
                <w:szCs w:val="22"/>
              </w:rPr>
              <w:t xml:space="preserve"> heben die Konstruktion über den Bodenbelag hinweg und schaffen so eine aufgeräumte Optik bei gesteigerter Pflegeleichtigkeit.</w:t>
            </w:r>
          </w:p>
          <w:p w14:paraId="3E607433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556A5F7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829BB9D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E70627" w:rsidRPr="00627B7A" w14:paraId="649FDA97" w14:textId="77777777" w:rsidTr="005A56A2">
        <w:trPr>
          <w:trHeight w:val="2821"/>
        </w:trPr>
        <w:tc>
          <w:tcPr>
            <w:tcW w:w="2835" w:type="dxa"/>
          </w:tcPr>
          <w:p w14:paraId="4980E12B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704B1126" w14:textId="42D6C710" w:rsidR="00E70627" w:rsidRPr="001B7EA4" w:rsidRDefault="00E70627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49F80D6" wp14:editId="436F7CB3">
                  <wp:extent cx="1711325" cy="1711325"/>
                  <wp:effectExtent l="0" t="0" r="3175" b="3175"/>
                  <wp:docPr id="1178948966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48966" name="Grafik 117894896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ADDD98A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261CAD2B" w14:textId="5953C1C1" w:rsidR="00E70627" w:rsidRPr="00D97348" w:rsidRDefault="00E70627" w:rsidP="002C345C">
            <w:pPr>
              <w:rPr>
                <w:rFonts w:cs="Arial"/>
                <w:szCs w:val="22"/>
              </w:rPr>
            </w:pPr>
            <w:r w:rsidRPr="00E70627">
              <w:rPr>
                <w:rFonts w:cs="Arial"/>
              </w:rPr>
              <w:t>RichardBrink_Miralux-System_0</w:t>
            </w:r>
            <w:r>
              <w:rPr>
                <w:rFonts w:cs="Arial"/>
              </w:rPr>
              <w:t>8</w:t>
            </w:r>
          </w:p>
          <w:p w14:paraId="352C1BC5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7832238A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368A5035" w14:textId="77777777" w:rsidR="00E70627" w:rsidRDefault="00E70627" w:rsidP="002C345C">
            <w:pPr>
              <w:rPr>
                <w:rFonts w:cs="Arial"/>
              </w:rPr>
            </w:pPr>
          </w:p>
          <w:p w14:paraId="7333CA75" w14:textId="77777777" w:rsidR="00E70627" w:rsidRDefault="00E70627" w:rsidP="002C345C">
            <w:pPr>
              <w:rPr>
                <w:rFonts w:cs="Arial"/>
              </w:rPr>
            </w:pPr>
          </w:p>
          <w:p w14:paraId="24EAD61A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02476FD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1F5B60D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A56115F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2E56511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5632B3F" w14:textId="4E34352C" w:rsidR="00E70627" w:rsidRDefault="00E70627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Auch die Kombination aus Gründach und Photovoltaik wird dank der Neuheiten der Firma Richard Brink möglich. Die zusätzliche Aufständerung für d</w:t>
            </w:r>
            <w:r w:rsidR="00B6497C">
              <w:rPr>
                <w:rFonts w:cs="Arial"/>
                <w:bCs/>
                <w:color w:val="000000"/>
                <w:szCs w:val="22"/>
              </w:rPr>
              <w:t>ie</w:t>
            </w:r>
            <w:r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B6497C">
              <w:rPr>
                <w:rFonts w:cs="Arial"/>
                <w:bCs/>
                <w:color w:val="000000"/>
                <w:szCs w:val="22"/>
              </w:rPr>
              <w:t>„</w:t>
            </w:r>
            <w:proofErr w:type="spellStart"/>
            <w:r w:rsidR="00B6497C">
              <w:rPr>
                <w:rFonts w:cs="Arial"/>
                <w:bCs/>
                <w:color w:val="000000"/>
                <w:szCs w:val="22"/>
              </w:rPr>
              <w:t>Miralux</w:t>
            </w:r>
            <w:proofErr w:type="spellEnd"/>
            <w:r w:rsidR="00B6497C">
              <w:rPr>
                <w:rFonts w:cs="Arial"/>
                <w:bCs/>
                <w:color w:val="000000"/>
                <w:szCs w:val="22"/>
              </w:rPr>
              <w:t xml:space="preserve"> Flex“</w:t>
            </w:r>
            <w:r w:rsidR="005A56A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B6497C">
              <w:rPr>
                <w:rFonts w:cs="Arial"/>
                <w:bCs/>
                <w:color w:val="000000"/>
                <w:szCs w:val="22"/>
              </w:rPr>
              <w:t>erlaubt die Montage von Solarmodulen oberhalb bestehender oder neuer extensiver Gründächer.</w:t>
            </w:r>
          </w:p>
          <w:p w14:paraId="087EE336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6DF417F" w14:textId="77777777" w:rsidR="00E70627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0BFB6A1C" w14:textId="77777777" w:rsidR="005A56A2" w:rsidRPr="00627B7A" w:rsidRDefault="005A56A2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3DE0656D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06DC09B7" w14:textId="77777777" w:rsidTr="005A56A2">
        <w:trPr>
          <w:trHeight w:val="2821"/>
        </w:trPr>
        <w:tc>
          <w:tcPr>
            <w:tcW w:w="2835" w:type="dxa"/>
          </w:tcPr>
          <w:p w14:paraId="2D118BB9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152A0875" w14:textId="28E347F0" w:rsidR="00972C40" w:rsidRPr="001B7EA4" w:rsidRDefault="00E70627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24B8DF1" wp14:editId="6A17580A">
                  <wp:extent cx="1711325" cy="1141095"/>
                  <wp:effectExtent l="0" t="0" r="3175" b="1905"/>
                  <wp:docPr id="181266558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665588" name="Grafik 181266558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8933897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67D4DBE1" w14:textId="4EF60EAA" w:rsidR="00D97348" w:rsidRPr="00D97348" w:rsidRDefault="00E70627" w:rsidP="00D97348">
            <w:pPr>
              <w:rPr>
                <w:rFonts w:cs="Arial"/>
                <w:szCs w:val="22"/>
              </w:rPr>
            </w:pPr>
            <w:r w:rsidRPr="00E70627">
              <w:rPr>
                <w:rFonts w:cs="Arial"/>
              </w:rPr>
              <w:t>RichardBrink_Miralux-System_0</w:t>
            </w:r>
            <w:r>
              <w:rPr>
                <w:rFonts w:cs="Arial"/>
              </w:rPr>
              <w:t>9</w:t>
            </w:r>
          </w:p>
          <w:p w14:paraId="6C042F43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7796061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17477CC" w14:textId="77777777" w:rsidR="00D97348" w:rsidRDefault="00D97348" w:rsidP="00D97348">
            <w:pPr>
              <w:rPr>
                <w:rFonts w:cs="Arial"/>
              </w:rPr>
            </w:pPr>
          </w:p>
          <w:p w14:paraId="7C24A60C" w14:textId="77777777" w:rsidR="00D97348" w:rsidRDefault="00D97348" w:rsidP="00D97348">
            <w:pPr>
              <w:rPr>
                <w:rFonts w:cs="Arial"/>
              </w:rPr>
            </w:pPr>
          </w:p>
          <w:p w14:paraId="25030B81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00DD122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3C0D53A8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664F1B70" w14:textId="77777777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3DC80F7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D4C3F13" w14:textId="69160C78" w:rsidR="00972C40" w:rsidRDefault="00B6497C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Das völlig neue System „</w:t>
            </w:r>
            <w:proofErr w:type="spellStart"/>
            <w:r>
              <w:rPr>
                <w:rFonts w:cs="Arial"/>
                <w:bCs/>
                <w:color w:val="000000"/>
                <w:szCs w:val="22"/>
              </w:rPr>
              <w:t>Miralux</w:t>
            </w:r>
            <w:proofErr w:type="spellEnd"/>
            <w:r>
              <w:rPr>
                <w:rFonts w:cs="Arial"/>
                <w:bCs/>
                <w:color w:val="000000"/>
                <w:szCs w:val="22"/>
              </w:rPr>
              <w:t xml:space="preserve"> Green“ für eine Ost-West-Ausrichtung bindet die Unterkonstruktion direkt in das Gründach ein. Die Bepflanzung und das Granulat dienen gleichzeitig als </w:t>
            </w:r>
            <w:proofErr w:type="spellStart"/>
            <w:r>
              <w:rPr>
                <w:rFonts w:cs="Arial"/>
                <w:bCs/>
                <w:color w:val="000000"/>
                <w:szCs w:val="22"/>
              </w:rPr>
              <w:t>Ballastierung</w:t>
            </w:r>
            <w:proofErr w:type="spellEnd"/>
            <w:r>
              <w:rPr>
                <w:rFonts w:cs="Arial"/>
                <w:bCs/>
                <w:color w:val="000000"/>
                <w:szCs w:val="22"/>
              </w:rPr>
              <w:t>.</w:t>
            </w:r>
          </w:p>
          <w:p w14:paraId="311C9059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FDA7502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3C179C">
              <w:rPr>
                <w:rFonts w:cs="Arial"/>
                <w:color w:val="000000"/>
                <w:szCs w:val="22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6AC79CEC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426D6E3F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6"/>
      <w:footerReference w:type="defaul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5ED3" w14:textId="77777777" w:rsidR="00C912EE" w:rsidRDefault="00C912E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48BF3FC8" w14:textId="77777777" w:rsidR="00C912EE" w:rsidRDefault="00C912E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D2EF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4615C6F6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6DE3" w14:textId="77777777" w:rsidR="00C912EE" w:rsidRDefault="00C912EE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31291F94" w14:textId="77777777" w:rsidR="00C912EE" w:rsidRDefault="00C912EE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0DDD" w14:textId="77777777" w:rsidR="001A0265" w:rsidRDefault="008E33A9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DD27A" wp14:editId="377080EA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8445" cy="80518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844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D28B7" w14:textId="77777777" w:rsidR="001A0265" w:rsidRDefault="008E33A9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938E19" wp14:editId="28BF1C91">
                                <wp:extent cx="1342390" cy="711835"/>
                                <wp:effectExtent l="0" t="0" r="0" b="0"/>
                                <wp:docPr id="6" name="Bild 6" descr="Logo Richard Brink GmbH und Co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Logo Richard Brink GmbH und Co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2390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5485B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20.35pt;height:6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" stroked="f">
              <v:path arrowok="t"/>
              <v:textbox style="mso-fit-shape-to-text:t">
                <w:txbxContent>
                  <w:p w14:paraId="7061CC21" w14:textId="77777777" w:rsidR="001A0265" w:rsidRDefault="008E33A9" w:rsidP="00816A23">
                    <w:r>
                      <w:rPr>
                        <w:noProof/>
                      </w:rPr>
                      <w:drawing>
                        <wp:inline distT="0" distB="0" distL="0" distR="0" wp14:anchorId="6E799D8A">
                          <wp:extent cx="1342390" cy="711835"/>
                          <wp:effectExtent l="0" t="0" r="0" b="0"/>
                          <wp:docPr id="6" name="Bild 6" descr="Logo Richard Brink GmbH und Co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Logo Richard Brink GmbH und Co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2390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76183F1" w14:textId="77777777" w:rsidR="001A0265" w:rsidRDefault="008E33A9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0E6EBE" wp14:editId="2EBB51C8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F6BD3" w14:textId="77777777" w:rsidR="001A0265" w:rsidRPr="00100628" w:rsidRDefault="001A0265">
                          <w:pPr>
                            <w:pStyle w:val="berschrift1"/>
                            <w:rPr>
                              <w:rFonts w:ascii="Arial" w:hAnsi="Arial" w:cs="Arial"/>
                            </w:rPr>
                          </w:pPr>
                          <w:r w:rsidRPr="00100628">
                            <w:rPr>
                              <w:rFonts w:ascii="Arial" w:hAnsi="Arial" w:cs="Arial"/>
                            </w:rPr>
                            <w:t>Bildunterschriften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03EE849A" id="Text Box 1" o:spid="_x0000_s1027" type="#_x0000_t202" style="position:absolute;margin-left:0;margin-top:18.45pt;width:2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" stroked="f">
              <v:path arrowok="t"/>
              <v:textbox inset="0,0,0,0">
                <w:txbxContent>
                  <w:p w14:paraId="3AD9AE5D" w14:textId="77777777" w:rsidR="001A0265" w:rsidRPr="00100628" w:rsidRDefault="001A0265">
                    <w:pPr>
                      <w:pStyle w:val="berschrift1"/>
                      <w:rPr>
                        <w:rFonts w:ascii="Arial" w:hAnsi="Arial" w:cs="Arial"/>
                      </w:rPr>
                    </w:pPr>
                    <w:r w:rsidRPr="00100628">
                      <w:rPr>
                        <w:rFonts w:ascii="Arial" w:hAnsi="Arial" w:cs="Arial"/>
                      </w:rPr>
                      <w:t>Bildunterschriften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0040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315C1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C179C"/>
    <w:rsid w:val="003D16D8"/>
    <w:rsid w:val="003D37C5"/>
    <w:rsid w:val="003E356C"/>
    <w:rsid w:val="003E4BE1"/>
    <w:rsid w:val="003F4FB3"/>
    <w:rsid w:val="004051F8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56A2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64B09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3C5E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27BA"/>
    <w:rsid w:val="008A396E"/>
    <w:rsid w:val="008B0FEF"/>
    <w:rsid w:val="008B490B"/>
    <w:rsid w:val="008C17FD"/>
    <w:rsid w:val="008C56B8"/>
    <w:rsid w:val="008D0D5D"/>
    <w:rsid w:val="008E117A"/>
    <w:rsid w:val="008E33A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59D"/>
    <w:rsid w:val="00B41F50"/>
    <w:rsid w:val="00B44B6B"/>
    <w:rsid w:val="00B47E22"/>
    <w:rsid w:val="00B53091"/>
    <w:rsid w:val="00B53B54"/>
    <w:rsid w:val="00B64919"/>
    <w:rsid w:val="00B6497C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31FF1"/>
    <w:rsid w:val="00C40050"/>
    <w:rsid w:val="00C408EC"/>
    <w:rsid w:val="00C4283C"/>
    <w:rsid w:val="00C542D4"/>
    <w:rsid w:val="00C63B78"/>
    <w:rsid w:val="00C66532"/>
    <w:rsid w:val="00C67EB7"/>
    <w:rsid w:val="00C71B44"/>
    <w:rsid w:val="00C739B1"/>
    <w:rsid w:val="00C74D16"/>
    <w:rsid w:val="00C7525F"/>
    <w:rsid w:val="00C812C6"/>
    <w:rsid w:val="00C912EE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14E5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0627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77067"/>
    <w:rsid w:val="00F826A4"/>
    <w:rsid w:val="00F90C10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7C142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560AF-EC80-2C4D-997F-18FB58D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8</cp:revision>
  <cp:lastPrinted>2020-02-06T07:50:00Z</cp:lastPrinted>
  <dcterms:created xsi:type="dcterms:W3CDTF">2023-05-09T14:48:00Z</dcterms:created>
  <dcterms:modified xsi:type="dcterms:W3CDTF">2023-06-12T14:11:00Z</dcterms:modified>
</cp:coreProperties>
</file>