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BF2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97530E" w:rsidRPr="001B7EA4" w14:paraId="54ACBBD0" w14:textId="77777777" w:rsidTr="009771A3">
        <w:trPr>
          <w:gridAfter w:val="1"/>
          <w:wAfter w:w="75" w:type="dxa"/>
          <w:trHeight w:val="602"/>
        </w:trPr>
        <w:tc>
          <w:tcPr>
            <w:tcW w:w="2835" w:type="dxa"/>
          </w:tcPr>
          <w:p w14:paraId="3E870839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  <w:gridSpan w:val="2"/>
          </w:tcPr>
          <w:p w14:paraId="5D534D38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  <w:gridSpan w:val="2"/>
          </w:tcPr>
          <w:p w14:paraId="5FC6475E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627B7A" w14:paraId="0966E244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01ADEC2A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849B352" w14:textId="77777777" w:rsidR="0071666D" w:rsidRPr="001B7EA4" w:rsidRDefault="00992AAF" w:rsidP="00D96EF3">
            <w:pPr>
              <w:rPr>
                <w:rFonts w:cs="Arial"/>
              </w:rPr>
            </w:pPr>
            <w:r>
              <w:pict w14:anchorId="3B4113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pt;height:235.2pt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E70FCC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F9E1A4E" w14:textId="77777777" w:rsidR="00E5510F" w:rsidRPr="00E5510F" w:rsidRDefault="00517066" w:rsidP="00E5510F">
            <w:pPr>
              <w:rPr>
                <w:rFonts w:cs="Arial"/>
                <w:szCs w:val="22"/>
              </w:rPr>
            </w:pPr>
            <w:r>
              <w:t>RichardBrink_FerroMax_01</w:t>
            </w:r>
          </w:p>
          <w:p w14:paraId="0F63D98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49CA7D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8DF76C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7FDC6AB2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5F6324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10F3968D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6BE36102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0D7600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874A39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B567B3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357F135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FCD340D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E52C098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7B37A4F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B68028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03639CE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4B546D3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0EF184D" w14:textId="77777777" w:rsidR="009771A3" w:rsidRDefault="009771A3" w:rsidP="00E5510F">
            <w:pPr>
              <w:rPr>
                <w:rFonts w:cs="Arial"/>
                <w:szCs w:val="22"/>
              </w:rPr>
            </w:pPr>
          </w:p>
          <w:p w14:paraId="6F83E75C" w14:textId="77777777" w:rsidR="00517066" w:rsidRPr="00E5510F" w:rsidRDefault="00517066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324FA6C4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D7343" w14:textId="3EA92705" w:rsidR="00E5510F" w:rsidRDefault="00517066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new FerroMax XXL water collection channel from Richard Brink is ideal for quickly </w:t>
            </w:r>
            <w:r w:rsidR="00992AAF">
              <w:rPr>
                <w:color w:val="000000"/>
                <w:szCs w:val="22"/>
              </w:rPr>
              <w:t>holding</w:t>
            </w:r>
            <w:r>
              <w:rPr>
                <w:color w:val="000000"/>
                <w:szCs w:val="22"/>
              </w:rPr>
              <w:t xml:space="preserve"> large volumes of precipitation in traffic or residential areas where ground surfaces tend to be sealed.</w:t>
            </w:r>
          </w:p>
          <w:p w14:paraId="62FBA4CF" w14:textId="77777777" w:rsidR="00517066" w:rsidRPr="001B7EA4" w:rsidRDefault="00517066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AEE8060" w14:textId="77777777" w:rsidR="00D96EF3" w:rsidRPr="00627B7A" w:rsidRDefault="00D96EF3" w:rsidP="00D96EF3">
            <w:r>
              <w:t>Photo: Richard Brink GmbH &amp; Co. KG</w:t>
            </w:r>
          </w:p>
          <w:p w14:paraId="5ABFC149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6B2DBE12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4B030EE3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4F5EFF8B" w14:textId="77777777" w:rsidR="004B1CF3" w:rsidRPr="001B7EA4" w:rsidRDefault="00992AAF">
            <w:pPr>
              <w:rPr>
                <w:rFonts w:cs="Arial"/>
              </w:rPr>
            </w:pPr>
            <w:r>
              <w:pict w14:anchorId="4A9CE476">
                <v:shape id="_x0000_i1026" type="#_x0000_t75" style="width:134.4pt;height:90pt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A7E529D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2B33FFB8" w14:textId="77777777" w:rsidR="004B1CF3" w:rsidRPr="001B7EA4" w:rsidRDefault="00517066" w:rsidP="0071667F">
            <w:pPr>
              <w:rPr>
                <w:rFonts w:cs="Arial"/>
                <w:szCs w:val="22"/>
              </w:rPr>
            </w:pPr>
            <w:r>
              <w:t>RichardBrink_FerroMax_02</w:t>
            </w:r>
          </w:p>
        </w:tc>
        <w:tc>
          <w:tcPr>
            <w:tcW w:w="3814" w:type="dxa"/>
            <w:gridSpan w:val="2"/>
          </w:tcPr>
          <w:p w14:paraId="04E5EF8B" w14:textId="77777777" w:rsidR="00B15515" w:rsidRPr="001B7EA4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2355BB" w14:textId="77777777" w:rsidR="00E5510F" w:rsidRDefault="00517066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channel is able to temporarily store even large amounts of water before directing it towards the sewer system in a controlled manner. </w:t>
            </w:r>
          </w:p>
          <w:p w14:paraId="5A9C9D2E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4546DB08" w14:textId="77777777" w:rsidR="00E7049E" w:rsidRDefault="00E7049E" w:rsidP="00E7049E">
            <w:r>
              <w:t>Photo: Richard Brink GmbH &amp; Co. KG</w:t>
            </w:r>
          </w:p>
          <w:p w14:paraId="4A4D9C45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E70DF28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6F7433B5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54E1AFC0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1203249" w14:textId="77777777" w:rsidR="00A03345" w:rsidRPr="001B7EA4" w:rsidRDefault="00992AAF" w:rsidP="00302DC4">
            <w:pPr>
              <w:rPr>
                <w:rFonts w:cs="Arial"/>
              </w:rPr>
            </w:pPr>
            <w:r>
              <w:pict w14:anchorId="7FF55788">
                <v:shape id="_x0000_i1027" type="#_x0000_t75" style="width:134.4pt;height:90pt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B361D0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6051905" w14:textId="77777777" w:rsidR="00A03345" w:rsidRPr="001B7EA4" w:rsidRDefault="00517066" w:rsidP="00302DC4">
            <w:pPr>
              <w:rPr>
                <w:rFonts w:cs="Arial"/>
              </w:rPr>
            </w:pPr>
            <w:r>
              <w:t>RichardBrink_FerroMax_03</w:t>
            </w:r>
          </w:p>
        </w:tc>
        <w:tc>
          <w:tcPr>
            <w:tcW w:w="3814" w:type="dxa"/>
            <w:gridSpan w:val="2"/>
          </w:tcPr>
          <w:p w14:paraId="6C9DAF8D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864B326" w14:textId="4F24F4B5" w:rsidR="00A03345" w:rsidRDefault="00447488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FerroMax is available in different dimensions as determined by the</w:t>
            </w:r>
            <w:r w:rsidR="00992AAF">
              <w:rPr>
                <w:color w:val="000000"/>
                <w:szCs w:val="22"/>
              </w:rPr>
              <w:t xml:space="preserve"> specific</w:t>
            </w:r>
            <w:r>
              <w:rPr>
                <w:color w:val="000000"/>
                <w:szCs w:val="22"/>
              </w:rPr>
              <w:t xml:space="preserve"> construction project and individual requirements. Depending on the selected version, it has a storage volume of between 102 and 900 litres per running metre.</w:t>
            </w:r>
          </w:p>
          <w:p w14:paraId="4A39AD9E" w14:textId="77777777" w:rsidR="00A03345" w:rsidRPr="001B7EA4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1C66722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536F49EF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47BF575F" w14:textId="77777777" w:rsidTr="009771A3">
        <w:trPr>
          <w:trHeight w:val="2821"/>
        </w:trPr>
        <w:tc>
          <w:tcPr>
            <w:tcW w:w="2892" w:type="dxa"/>
            <w:gridSpan w:val="2"/>
          </w:tcPr>
          <w:p w14:paraId="57F09772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43EED172" w14:textId="77777777" w:rsidR="00413CD7" w:rsidRPr="001B7EA4" w:rsidRDefault="00000000" w:rsidP="002B23DC">
            <w:pPr>
              <w:rPr>
                <w:rFonts w:cs="Arial"/>
              </w:rPr>
            </w:pPr>
            <w:r>
              <w:pict w14:anchorId="022C065A">
                <v:shape id="_x0000_i1028" type="#_x0000_t75" style="width:137.4pt;height:205.8pt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BE5E4DF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7D8A0C69" w14:textId="77777777" w:rsidR="00413CD7" w:rsidRDefault="00517066" w:rsidP="002B23DC">
            <w:pPr>
              <w:rPr>
                <w:rFonts w:cs="Arial"/>
              </w:rPr>
            </w:pPr>
            <w:r>
              <w:t>RichardBrink_FerroMax_04</w:t>
            </w:r>
          </w:p>
          <w:p w14:paraId="340B0A56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698583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3D7C0633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5A06A76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C51AC5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44DFBE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EC55C0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469533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7AB100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89266E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381C8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4FAFB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B94A807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0FF127F" w14:textId="77777777" w:rsidR="00517066" w:rsidRDefault="00517066" w:rsidP="00517066">
            <w:pPr>
              <w:rPr>
                <w:rFonts w:cs="Arial"/>
              </w:rPr>
            </w:pPr>
          </w:p>
          <w:p w14:paraId="14757904" w14:textId="77777777" w:rsidR="00517066" w:rsidRDefault="00517066" w:rsidP="00517066">
            <w:pPr>
              <w:rPr>
                <w:rFonts w:cs="Arial"/>
              </w:rPr>
            </w:pPr>
          </w:p>
          <w:p w14:paraId="79B050FC" w14:textId="77777777" w:rsidR="00517066" w:rsidRPr="00517066" w:rsidRDefault="00517066" w:rsidP="00517066">
            <w:pPr>
              <w:rPr>
                <w:rFonts w:cs="Arial"/>
              </w:rPr>
            </w:pPr>
          </w:p>
        </w:tc>
        <w:tc>
          <w:tcPr>
            <w:tcW w:w="3819" w:type="dxa"/>
            <w:gridSpan w:val="2"/>
          </w:tcPr>
          <w:p w14:paraId="7C1FDF23" w14:textId="77777777" w:rsidR="00413CD7" w:rsidRPr="001B7EA4" w:rsidRDefault="00413CD7" w:rsidP="002B23D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C02AD6" w14:textId="2DE7D92B" w:rsidR="00413CD7" w:rsidRDefault="0059433F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metal products manufacturer presented its new product, </w:t>
            </w:r>
            <w:r w:rsidR="001E5F11">
              <w:rPr>
                <w:color w:val="000000"/>
                <w:szCs w:val="22"/>
              </w:rPr>
              <w:t>available in</w:t>
            </w:r>
            <w:r>
              <w:rPr>
                <w:color w:val="000000"/>
                <w:szCs w:val="22"/>
              </w:rPr>
              <w:t xml:space="preserve"> either hot-dip galvanised steel or stainless steel, for the very first time at the IFAT 2022 in Munich. </w:t>
            </w:r>
          </w:p>
          <w:p w14:paraId="00384DF4" w14:textId="77777777" w:rsidR="00413CD7" w:rsidRPr="001B7EA4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B134703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7D97E87F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497836EC" w14:textId="77777777" w:rsidTr="009771A3">
        <w:trPr>
          <w:trHeight w:val="2821"/>
        </w:trPr>
        <w:tc>
          <w:tcPr>
            <w:tcW w:w="2892" w:type="dxa"/>
            <w:gridSpan w:val="2"/>
          </w:tcPr>
          <w:p w14:paraId="1287C330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7D57BC96" w14:textId="77777777" w:rsidR="00413CD7" w:rsidRPr="001B7EA4" w:rsidRDefault="00000000" w:rsidP="002B23DC">
            <w:pPr>
              <w:rPr>
                <w:rFonts w:cs="Arial"/>
              </w:rPr>
            </w:pPr>
            <w:r>
              <w:pict w14:anchorId="6DFC6D9B">
                <v:shape id="_x0000_i1029" type="#_x0000_t75" style="width:137.4pt;height:206.4pt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29EAB08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2B8292B1" w14:textId="77777777" w:rsidR="00413CD7" w:rsidRPr="001B7EA4" w:rsidRDefault="00517066" w:rsidP="002B23DC">
            <w:pPr>
              <w:rPr>
                <w:rFonts w:cs="Arial"/>
              </w:rPr>
            </w:pPr>
            <w:r>
              <w:t>RichardBrink_FerroMax_05</w:t>
            </w:r>
          </w:p>
        </w:tc>
        <w:tc>
          <w:tcPr>
            <w:tcW w:w="3819" w:type="dxa"/>
            <w:gridSpan w:val="2"/>
          </w:tcPr>
          <w:p w14:paraId="4B4268DE" w14:textId="77777777" w:rsidR="00413CD7" w:rsidRPr="001B7EA4" w:rsidRDefault="00413CD7" w:rsidP="002B23D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BDDAF3" w14:textId="4971F99D" w:rsidR="00413CD7" w:rsidRDefault="0059433F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Visitors to the trade fair stand were able to gain a good understanding of the FerroMax, which stood out in particular due to its </w:t>
            </w:r>
            <w:r w:rsidR="001E5F11">
              <w:rPr>
                <w:color w:val="000000"/>
                <w:szCs w:val="22"/>
              </w:rPr>
              <w:t>impressive</w:t>
            </w:r>
            <w:r>
              <w:rPr>
                <w:color w:val="000000"/>
                <w:szCs w:val="22"/>
              </w:rPr>
              <w:t xml:space="preserve"> size. </w:t>
            </w:r>
          </w:p>
          <w:p w14:paraId="07856F00" w14:textId="77777777" w:rsidR="00413CD7" w:rsidRPr="001B7EA4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5001ADC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01324D2" w14:textId="77777777" w:rsidR="00413CD7" w:rsidRPr="00627B7A" w:rsidRDefault="00413CD7" w:rsidP="002B23D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3DFE323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8896" w14:textId="77777777" w:rsidR="005C3BF3" w:rsidRDefault="005C3BF3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986EE44" w14:textId="77777777" w:rsidR="005C3BF3" w:rsidRDefault="005C3BF3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801B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313D4175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3A17" w14:textId="77777777" w:rsidR="005C3BF3" w:rsidRDefault="005C3BF3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0865AD4" w14:textId="77777777" w:rsidR="005C3BF3" w:rsidRDefault="005C3BF3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A68" w14:textId="77777777" w:rsidR="001A0265" w:rsidRDefault="00000000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1AA095E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25pt;margin-top:12.95pt;width:119.9pt;height:63.4pt;z-index:2;mso-wrap-style:none;mso-wrap-edited:f;mso-width-relative:margin;mso-height-relative:margin" stroked="f">
          <v:textbox style="mso-next-textbox:#_x0000_s1026;mso-fit-shape-to-text:t">
            <w:txbxContent>
              <w:p w14:paraId="2DBCBBE0" w14:textId="77777777" w:rsidR="001A0265" w:rsidRDefault="00000000" w:rsidP="00816A23">
                <w:r>
                  <w:pict w14:anchorId="009DA7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6pt;height:56.4pt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21D71B66" w14:textId="77777777" w:rsidR="001A0265" w:rsidRDefault="00000000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1DA3BE00">
        <v:shape id="_x0000_s1025" type="#_x0000_t202" style="position:absolute;margin-left:0;margin-top:18.45pt;width:225pt;height:36pt;z-index:1;mso-wrap-edited:f" stroked="f">
          <v:textbox style="mso-next-textbox:#_x0000_s1025" inset="0,0,0,0">
            <w:txbxContent>
              <w:p w14:paraId="20C47C2B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E5F11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770F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47488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066"/>
    <w:rsid w:val="005174F9"/>
    <w:rsid w:val="00520F39"/>
    <w:rsid w:val="00530133"/>
    <w:rsid w:val="00530280"/>
    <w:rsid w:val="00537EBA"/>
    <w:rsid w:val="00545B2F"/>
    <w:rsid w:val="00554748"/>
    <w:rsid w:val="00557CB0"/>
    <w:rsid w:val="00562364"/>
    <w:rsid w:val="00564CB1"/>
    <w:rsid w:val="00567DC4"/>
    <w:rsid w:val="00567E84"/>
    <w:rsid w:val="00570700"/>
    <w:rsid w:val="0057369D"/>
    <w:rsid w:val="005744DF"/>
    <w:rsid w:val="0059433F"/>
    <w:rsid w:val="00594857"/>
    <w:rsid w:val="005A1BE8"/>
    <w:rsid w:val="005B5E52"/>
    <w:rsid w:val="005C3BF3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771A3"/>
    <w:rsid w:val="00980ADB"/>
    <w:rsid w:val="00982C77"/>
    <w:rsid w:val="00983DA1"/>
    <w:rsid w:val="00983E97"/>
    <w:rsid w:val="00992AAF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52C9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0A7C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174A0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7DC1"/>
    <w:rsid w:val="00E94EFE"/>
    <w:rsid w:val="00E974C6"/>
    <w:rsid w:val="00EA53D6"/>
    <w:rsid w:val="00EB101F"/>
    <w:rsid w:val="00EB16BC"/>
    <w:rsid w:val="00EC16B9"/>
    <w:rsid w:val="00EC5BD6"/>
    <w:rsid w:val="00EC66B0"/>
    <w:rsid w:val="00ED6107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E4A19"/>
  <w15:chartTrackingRefBased/>
  <w15:docId w15:val="{249C0580-73E2-4477-B55A-1406962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Kundenorientierte Produktentwicklung mit</vt:lpstr>
      <vt:lpstr>Kundenorientierte Produktentwicklung mit</vt:lpstr>
    </vt:vector>
  </TitlesOfParts>
  <Company>rütter &amp; reinecke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4</cp:revision>
  <cp:lastPrinted>2020-02-06T07:50:00Z</cp:lastPrinted>
  <dcterms:created xsi:type="dcterms:W3CDTF">2022-06-10T10:34:00Z</dcterms:created>
  <dcterms:modified xsi:type="dcterms:W3CDTF">2022-09-23T17:01:00Z</dcterms:modified>
</cp:coreProperties>
</file>