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73F4E0B8" w:rsidR="009E76AC" w:rsidRPr="00A82E21" w:rsidRDefault="0053450F" w:rsidP="009E76AC">
      <w:pPr>
        <w:rPr>
          <w:rFonts w:cs="Arial"/>
          <w:b/>
          <w:sz w:val="28"/>
          <w:szCs w:val="28"/>
        </w:rPr>
        <w:bidi w:val="0"/>
      </w:pPr>
      <w:r>
        <w:rPr>
          <w:rFonts w:cs="Arial"/>
          <w:sz w:val="28"/>
          <w:szCs w:val="28"/>
          <w:lang w:val="nl-nl"/>
          <w:b w:val="1"/>
          <w:bCs w:val="1"/>
          <w:i w:val="0"/>
          <w:iCs w:val="0"/>
          <w:u w:val="none"/>
          <w:vertAlign w:val="baseline"/>
          <w:rtl w:val="0"/>
        </w:rPr>
        <w:t xml:space="preserve">Van hoekprofiel tot groendak</w:t>
      </w:r>
    </w:p>
    <w:p w14:paraId="0C7DEA83" w14:textId="0A860237" w:rsidR="000F6C3F" w:rsidRDefault="00A82E21" w:rsidP="009E76AC">
      <w:pPr>
        <w:rPr>
          <w:rFonts w:cs="Arial"/>
          <w:b/>
          <w:sz w:val="28"/>
          <w:szCs w:val="28"/>
        </w:rPr>
        <w:bidi w:val="0"/>
      </w:pPr>
      <w:r>
        <w:rPr>
          <w:rFonts w:cs="Arial"/>
          <w:sz w:val="28"/>
          <w:szCs w:val="28"/>
          <w:lang w:val="nl-nl"/>
          <w:b w:val="1"/>
          <w:bCs w:val="1"/>
          <w:i w:val="0"/>
          <w:iCs w:val="0"/>
          <w:u w:val="none"/>
          <w:vertAlign w:val="baseline"/>
          <w:rtl w:val="0"/>
        </w:rPr>
        <w:t xml:space="preserve">Richard Brink presenteert noviteiten van zijn daksysteemoplossingen op DACH+HOLZ International</w:t>
      </w:r>
    </w:p>
    <w:p w14:paraId="520FA011" w14:textId="77777777" w:rsidR="00F22740" w:rsidRPr="00A82E21" w:rsidRDefault="00F22740" w:rsidP="009E76AC">
      <w:pPr>
        <w:rPr>
          <w:rFonts w:cs="Arial"/>
          <w:b/>
          <w:sz w:val="28"/>
          <w:szCs w:val="28"/>
        </w:rPr>
      </w:pPr>
    </w:p>
    <w:p w14:paraId="709A0E7A" w14:textId="4BC34414" w:rsidR="009E76AC" w:rsidRPr="009E76AC" w:rsidRDefault="0053450F" w:rsidP="009E76AC">
      <w:pPr>
        <w:spacing w:line="360" w:lineRule="auto"/>
        <w:rPr>
          <w:rFonts w:cs="Arial"/>
          <w:b/>
          <w:sz w:val="24"/>
          <w:szCs w:val="24"/>
        </w:rPr>
        <w:bidi w:val="0"/>
      </w:pPr>
      <w:r>
        <w:rPr>
          <w:rFonts w:cs="Arial"/>
          <w:sz w:val="24"/>
          <w:szCs w:val="24"/>
          <w:lang w:val="nl-nl"/>
          <w:b w:val="1"/>
          <w:bCs w:val="1"/>
          <w:i w:val="0"/>
          <w:iCs w:val="0"/>
          <w:u w:val="none"/>
          <w:vertAlign w:val="baseline"/>
          <w:rtl w:val="0"/>
        </w:rPr>
        <w:t xml:space="preserve">Keulen, 08-07-2022. </w:t>
      </w:r>
      <w:r>
        <w:rPr>
          <w:rFonts w:cs="Arial"/>
          <w:sz w:val="24"/>
          <w:szCs w:val="24"/>
          <w:lang w:val="nl-nl"/>
          <w:b w:val="1"/>
          <w:bCs w:val="1"/>
          <w:i w:val="0"/>
          <w:iCs w:val="0"/>
          <w:u w:val="none"/>
          <w:vertAlign w:val="baseline"/>
          <w:rtl w:val="0"/>
        </w:rPr>
        <w:t xml:space="preserve">Op 5 juli opende het beurscomplex van Keulen zijn deuren voor de langverwachte comeback van DACH+HOLZ International. </w:t>
      </w:r>
      <w:r>
        <w:rPr>
          <w:rFonts w:cs="Arial"/>
          <w:sz w:val="24"/>
          <w:szCs w:val="24"/>
          <w:lang w:val="nl-nl"/>
          <w:b w:val="1"/>
          <w:bCs w:val="1"/>
          <w:i w:val="0"/>
          <w:iCs w:val="0"/>
          <w:u w:val="none"/>
          <w:vertAlign w:val="baseline"/>
          <w:rtl w:val="0"/>
        </w:rPr>
        <w:t xml:space="preserve">Ook voor Richard Brink GmbH &amp; Co. KG is deze beurs een must en den prima gelegenheid om persoonlijk contact met de klanten te krijgen. </w:t>
      </w:r>
      <w:r>
        <w:rPr>
          <w:rFonts w:cs="Arial"/>
          <w:sz w:val="24"/>
          <w:szCs w:val="24"/>
          <w:lang w:val="nl-nl"/>
          <w:b w:val="1"/>
          <w:bCs w:val="1"/>
          <w:i w:val="0"/>
          <w:iCs w:val="0"/>
          <w:u w:val="none"/>
          <w:vertAlign w:val="baseline"/>
          <w:rtl w:val="0"/>
        </w:rPr>
        <w:t xml:space="preserve">Ook van de partij: een online configurator voor randprofielen en de première van een compleet systeem voor groendaken.</w:t>
      </w:r>
    </w:p>
    <w:p w14:paraId="39E004DC" w14:textId="5E98A459" w:rsidR="00F22740" w:rsidRDefault="00F22740" w:rsidP="005B1417">
      <w:pPr>
        <w:spacing w:line="360" w:lineRule="auto"/>
        <w:rPr>
          <w:rFonts w:cs="Arial"/>
          <w:bCs/>
          <w:sz w:val="24"/>
          <w:szCs w:val="24"/>
        </w:rPr>
        <w:bidi w:val="0"/>
      </w:pPr>
      <w:r>
        <w:rPr>
          <w:rFonts w:cs="Arial"/>
          <w:sz w:val="24"/>
          <w:szCs w:val="24"/>
          <w:lang w:val="nl-nl"/>
          <w:b w:val="0"/>
          <w:bCs w:val="0"/>
          <w:i w:val="0"/>
          <w:iCs w:val="0"/>
          <w:u w:val="none"/>
          <w:vertAlign w:val="baseline"/>
          <w:rtl w:val="0"/>
        </w:rPr>
        <w:t xml:space="preserve">Ondanks een lange pauze als gevolg van de pandemie en een kleiner aantal exposanten bewees de DACH+HOLZ International ook dit jaar weer haar reputatie als trefpunt voor de Europese dakbedekkings- en timmerbranche. Ook de firma Richard Brink profiteerde van de gelegenheid. Op haar stand in hal 6 presenteerde de firma de eigen daksystemen. Ook was er intensief persoonlijk contact met de beursbezoekers.</w:t>
      </w:r>
    </w:p>
    <w:p w14:paraId="20E5C73F" w14:textId="4EEE03DA" w:rsidR="00D40F70" w:rsidRPr="00E01BB3" w:rsidRDefault="00323AC6" w:rsidP="005B1417">
      <w:pPr>
        <w:spacing w:line="360" w:lineRule="auto"/>
        <w:rPr>
          <w:rFonts w:cs="Arial"/>
          <w:b/>
          <w:sz w:val="24"/>
          <w:szCs w:val="24"/>
        </w:rPr>
        <w:bidi w:val="0"/>
      </w:pPr>
      <w:r>
        <w:rPr>
          <w:rFonts w:cs="Arial"/>
          <w:sz w:val="24"/>
          <w:szCs w:val="24"/>
          <w:lang w:val="nl-nl"/>
          <w:b w:val="1"/>
          <w:bCs w:val="1"/>
          <w:i w:val="0"/>
          <w:iCs w:val="0"/>
          <w:u w:val="none"/>
          <w:vertAlign w:val="baseline"/>
          <w:rtl w:val="0"/>
        </w:rPr>
        <w:t xml:space="preserve">Groene highlight</w:t>
      </w:r>
    </w:p>
    <w:p w14:paraId="4010F7B8" w14:textId="69B952C6" w:rsidR="00D40F70" w:rsidRDefault="00D40F70" w:rsidP="005B1417">
      <w:pPr>
        <w:spacing w:line="360" w:lineRule="auto"/>
        <w:rPr>
          <w:rFonts w:cs="Arial"/>
          <w:bCs/>
          <w:sz w:val="24"/>
          <w:szCs w:val="24"/>
        </w:rPr>
        <w:bidi w:val="0"/>
      </w:pPr>
      <w:r>
        <w:rPr>
          <w:rFonts w:cs="Arial"/>
          <w:sz w:val="24"/>
          <w:szCs w:val="24"/>
          <w:lang w:val="nl-nl"/>
          <w:b w:val="0"/>
          <w:bCs w:val="0"/>
          <w:i w:val="0"/>
          <w:iCs w:val="0"/>
          <w:u w:val="none"/>
          <w:vertAlign w:val="baseline"/>
          <w:rtl w:val="0"/>
        </w:rPr>
        <w:t xml:space="preserve">De aandacht ging vooral uit naar twee nieuwe producten: voor het eerst presenteerde de metaalwarenfabrikant zijn complete systeem voor groendaken, dat het middelpunt van de expositieruimte vormde. Het bestaat uit een drainage-element, extensieve substraten, een wateropslagmat, de passende beplanting voor extensieve begroeiing en de beproefde grindvangers. Bij de drainagemat is er keuze uit twee uitvoeringen, die afhankelijk van de dakarchitectuur bij hellingen onder of boven 2% worden gebruikt en tussen 4,3 en 7,6 liter regenwater per vierkante meter kunnen opslaan. De wateropslagmat zelf is in staat om 40 l per vierkante meter op te nemen en de beplanting langdurig van water te voorzien. "Voor ons was de beurs de ideale gelegenheid om ons totaalpakket voor groendaken voor het eerst te presenteren en de eerste reacties direct uit de branche te ontvangen. Het resultaat was een voor ons waardevolle uitwisseling, die de waarde van onze hoogwaardige productsystemen voor groendaken onderstreept", legt bedrijfsleider Stefan Brink uit.</w:t>
      </w:r>
    </w:p>
    <w:p w14:paraId="56A655C5" w14:textId="7AA75D9E" w:rsidR="00AC461B" w:rsidRPr="00AC461B" w:rsidRDefault="00323AC6" w:rsidP="005B1417">
      <w:pPr>
        <w:spacing w:line="360" w:lineRule="auto"/>
        <w:rPr>
          <w:rFonts w:cs="Arial"/>
          <w:b/>
          <w:sz w:val="24"/>
          <w:szCs w:val="24"/>
        </w:rPr>
        <w:bidi w:val="0"/>
      </w:pPr>
      <w:r>
        <w:rPr>
          <w:rFonts w:cs="Arial"/>
          <w:sz w:val="24"/>
          <w:szCs w:val="24"/>
          <w:lang w:val="nl-nl"/>
          <w:b w:val="1"/>
          <w:bCs w:val="1"/>
          <w:i w:val="0"/>
          <w:iCs w:val="0"/>
          <w:u w:val="none"/>
          <w:vertAlign w:val="baseline"/>
          <w:rtl w:val="0"/>
        </w:rPr>
        <w:t xml:space="preserve">Met een klik naar het randprofiel</w:t>
      </w:r>
    </w:p>
    <w:p w14:paraId="1A7D909B" w14:textId="1431D6DC" w:rsidR="00AC461B" w:rsidRDefault="00AC461B" w:rsidP="005B1417">
      <w:pPr>
        <w:spacing w:line="360" w:lineRule="auto"/>
        <w:rPr>
          <w:rFonts w:cs="Arial"/>
          <w:bCs/>
          <w:sz w:val="24"/>
          <w:szCs w:val="24"/>
        </w:rPr>
        <w:bidi w:val="0"/>
      </w:pPr>
      <w:r>
        <w:rPr>
          <w:rFonts w:cs="Arial"/>
          <w:sz w:val="24"/>
          <w:szCs w:val="24"/>
          <w:lang w:val="nl-nl"/>
          <w:b w:val="0"/>
          <w:bCs w:val="0"/>
          <w:i w:val="0"/>
          <w:iCs w:val="0"/>
          <w:u w:val="none"/>
          <w:vertAlign w:val="baseline"/>
          <w:rtl w:val="0"/>
        </w:rPr>
        <w:t xml:space="preserve">Het tentoongestelde assortiment bevatte onder andere afwateringssystemen, daksystemen zoals de flexibele onderconstructies voor zonnepanelen MiraluxFlex en schoorsteenafdekkingen. De nieuwe online configurator voor randprofielen wekte de nieuwsgierigheid van de bezoekers. De configurator zal binnenkort direct op de website van de firma Richard Brink beschikbaar zijn. Hiermee kunnen klanten met slechts enkele klikken een individueel randprofiel samenstellen. In de configurator kunnen alle details van het profiel en de maatvoering worden ingevoerd. De configurator maakt een live-weergave van het product, berekent de totale prijs en toont alle gegevens in één overzicht. De producten kunnen vervolgens direct worden besteld.</w:t>
      </w:r>
    </w:p>
    <w:p w14:paraId="7CA6BD72" w14:textId="4DC93E7D" w:rsidR="00BD3067" w:rsidRDefault="00BD3067" w:rsidP="005B1417">
      <w:pPr>
        <w:spacing w:line="360" w:lineRule="auto"/>
        <w:rPr>
          <w:rFonts w:cs="Arial"/>
          <w:bCs/>
          <w:sz w:val="24"/>
          <w:szCs w:val="24"/>
        </w:rPr>
        <w:bidi w:val="0"/>
      </w:pPr>
      <w:r>
        <w:rPr>
          <w:rFonts w:cs="Arial"/>
          <w:sz w:val="24"/>
          <w:szCs w:val="24"/>
          <w:lang w:val="nl-nl"/>
          <w:b w:val="0"/>
          <w:bCs w:val="0"/>
          <w:i w:val="0"/>
          <w:iCs w:val="0"/>
          <w:u w:val="none"/>
          <w:vertAlign w:val="baseline"/>
          <w:rtl w:val="0"/>
        </w:rPr>
        <w:t xml:space="preserve">Na vier boeiende en stimulerende beursdagen is de conclusie van de metaalwarenfabrikant zeer positief: “Ondanks alle uitdagingen en de beperkte productiecapaciteit kunnen we terugkijken op een aanzienlijk aantal bezoekers op onze stand. We zijn blij dat zowel bestaande als potentiële nieuwe klanten met zeer concrete vragen en wensen naar ons toe zijn gekomen en dat we ze met onze knowhow hebben kunnen helpen”, besluit Stefan Brink. </w:t>
      </w:r>
    </w:p>
    <w:p w14:paraId="51D0C6C9" w14:textId="0F834042" w:rsidR="001A053B" w:rsidRPr="006604A2" w:rsidRDefault="0083307B" w:rsidP="005B1417">
      <w:pPr>
        <w:spacing w:line="360" w:lineRule="auto"/>
        <w:rPr>
          <w:rFonts w:cs="Arial"/>
          <w:bCs/>
          <w:sz w:val="24"/>
          <w:szCs w:val="24"/>
        </w:rPr>
        <w:bidi w:val="0"/>
      </w:pPr>
      <w:r>
        <w:rPr>
          <w:rFonts w:cs="Arial"/>
          <w:sz w:val="24"/>
          <w:szCs w:val="24"/>
          <w:lang w:val="nl-nl"/>
          <w:b w:val="0"/>
          <w:bCs w:val="0"/>
          <w:i w:val="0"/>
          <w:iCs w:val="0"/>
          <w:u w:val="none"/>
          <w:vertAlign w:val="baseline"/>
          <w:rtl w:val="0"/>
        </w:rPr>
        <w:br w:type="textWrapping"/>
      </w:r>
      <w:r>
        <w:rPr>
          <w:rFonts w:cs="Arial"/>
          <w:sz w:val="24"/>
          <w:szCs w:val="24"/>
          <w:lang w:val="nl-nl"/>
          <w:b w:val="1"/>
          <w:bCs w:val="1"/>
          <w:i w:val="0"/>
          <w:iCs w:val="0"/>
          <w:u w:val="none"/>
          <w:vertAlign w:val="baseline"/>
          <w:rtl w:val="0"/>
        </w:rPr>
        <w:t xml:space="preserve">(ca. 3.260 tekens)</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bidi w:val="0"/>
      </w:pPr>
      <w:r>
        <w:rPr>
          <w:rFonts w:cs="Arial"/>
          <w:sz w:val="18"/>
          <w:lang w:val="nl-nl"/>
          <w:b w:val="0"/>
          <w:bCs w:val="0"/>
          <w:i w:val="0"/>
          <w:iCs w:val="0"/>
          <w:u w:val="none"/>
          <w:vertAlign w:val="baseline"/>
          <w:rtl w:val="0"/>
        </w:rPr>
        <w:t xml:space="preserve">Het productaanbod van het in 1976 opgerichte familiebedrijf loopt uiteen van afwaterings- en drainagesystemen, grindvangers, borderranden en gazonranden tot aan randprofielen, muurafdekkingen, plantenbakken, onderconstructies voor zonnepanelen, schoorsteenafdekkingen en windwijzers. Meer informatie op </w:t>
      </w:r>
      <w:hyperlink r:id="rId7" w:history="1">
        <w:r>
          <w:rPr>
            <w:rStyle w:val="Hyperlink"/>
            <w:rFonts w:cs="Arial"/>
            <w:color w:val="auto"/>
            <w:sz w:val="18"/>
            <w:lang w:val="nl-nl"/>
            <w:b w:val="0"/>
            <w:bCs w:val="0"/>
            <w:i w:val="0"/>
            <w:iCs w:val="0"/>
            <w:u w:val="single"/>
            <w:vertAlign w:val="baseline"/>
            <w:rtl w:val="0"/>
          </w:rPr>
          <w:t xml:space="preserve">www.richard-brink.de</w:t>
        </w:r>
      </w:hyperlink>
      <w:r>
        <w:rPr>
          <w:rFonts w:cs="Arial"/>
          <w:sz w:val="18"/>
          <w:lang w:val="nl-nl"/>
          <w:b w:val="0"/>
          <w:bCs w:val="0"/>
          <w:i w:val="0"/>
          <w:iCs w:val="0"/>
          <w:u w:val="none"/>
          <w:vertAlign w:val="baseline"/>
          <w:rtl w:val="0"/>
        </w:rPr>
        <w:t xml:space="preserve">.</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bidi w:val="0"/>
      </w:pPr>
      <w:r>
        <w:rPr>
          <w:rFonts w:cs="Arial"/>
          <w:sz w:val="18"/>
          <w:lang w:val="nl-nl"/>
          <w:b w:val="0"/>
          <w:bCs w:val="0"/>
          <w:i w:val="0"/>
          <w:iCs w:val="0"/>
          <w:u w:val="none"/>
          <w:vertAlign w:val="baseline"/>
          <w:rtl w:val="0"/>
        </w:rPr>
        <w:t xml:space="preserve">Het zusterbedrijf Brink Systembau GmbH is gespecialiseerd in beurs- en tentoonstellingsbouw en </w:t>
      </w:r>
      <w:r>
        <w:rPr>
          <w:rFonts w:cs="Arial"/>
          <w:sz w:val="18"/>
          <w:szCs w:val="18"/>
          <w:lang w:val="nl-nl"/>
          <w:b w:val="0"/>
          <w:bCs w:val="0"/>
          <w:i w:val="0"/>
          <w:iCs w:val="0"/>
          <w:u w:val="none"/>
          <w:vertAlign w:val="baseline"/>
          <w:rtl w:val="0"/>
        </w:rPr>
        <w:t xml:space="preserve">verkoopt flexibele modulaire systemen. Deze worden door Richard Brink GmbH &amp; Co. KG geproduceerd en bijvoorbeeld voor beurswanden gebruikt. Ze zijn ook geschikt voor andere toepassingen, bijv. voor machinebehuizingen, geluidswering, scheidingswanden of vitrines.</w:t>
      </w:r>
      <w:r>
        <w:rPr>
          <w:rFonts w:cs="Arial"/>
          <w:sz w:val="18"/>
          <w:lang w:val="nl-nl"/>
          <w:b w:val="0"/>
          <w:bCs w:val="0"/>
          <w:i w:val="0"/>
          <w:iCs w:val="0"/>
          <w:u w:val="none"/>
          <w:vertAlign w:val="baseline"/>
          <w:rtl w:val="0"/>
        </w:rPr>
        <w:t xml:space="preserve"> Ook biedt het bedrijf LED-billboards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CEB3" w14:textId="77777777" w:rsidR="00507B5F" w:rsidRDefault="00507B5F" w:rsidP="002D5283">
      <w:pPr>
        <w:spacing w:after="0" w:line="240" w:lineRule="auto"/>
      </w:pPr>
      <w:r>
        <w:separator/>
      </w:r>
    </w:p>
  </w:endnote>
  <w:endnote w:type="continuationSeparator" w:id="0">
    <w:p w14:paraId="5B4E29FB" w14:textId="77777777" w:rsidR="00507B5F" w:rsidRDefault="00507B5F"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507B5F">
    <w:pPr>
      <w:pStyle w:val="Fuzeile"/>
      <w:jc w:val="center"/>
      <w:bidi w:val="0"/>
    </w:pPr>
    <w:r>
      <w:rPr>
        <w:noProof/>
        <w:lang w:val="nl-nl"/>
        <w:b w:val="0"/>
        <w:bCs w:val="0"/>
        <w:i w:val="0"/>
        <w:iCs w:val="0"/>
        <w:u w:val="none"/>
        <w:vertAlign w:val="baseline"/>
        <w:rtl w:val="0"/>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Uitgever: </w:t>
                </w:r>
              </w:p>
              <w:p w14:paraId="6BEA2E24" w14:textId="77777777" w:rsidR="00EE7ED8" w:rsidRPr="00DB1420" w:rsidRDefault="00EE7ED8" w:rsidP="009518C2">
                <w:pPr>
                  <w:pStyle w:val="berschrift1"/>
                  <w:spacing w:line="240" w:lineRule="auto"/>
                  <w:jc w:val="left"/>
                  <w:rPr>
                    <w:color w:val="808080"/>
                    <w:sz w:val="14"/>
                  </w:rPr>
                  <w:bidi w:val="0"/>
                </w:pPr>
                <w:r>
                  <w:rPr>
                    <w:color w:val="808080"/>
                    <w:sz w:val="14"/>
                    <w:lang w:val="nl-nl"/>
                    <w:b w:val="1"/>
                    <w:bCs w:val="1"/>
                    <w:i w:val="0"/>
                    <w:iCs w:val="0"/>
                    <w:u w:val="none"/>
                    <w:vertAlign w:val="baseline"/>
                    <w:rtl w:val="0"/>
                  </w:rPr>
                  <w:t xml:space="preserve">Richard Brink GmbH &amp; Co. KG</w:t>
                </w:r>
              </w:p>
              <w:p w14:paraId="11F91D9B" w14:textId="77777777" w:rsidR="00EE7ED8" w:rsidRPr="005602BA"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Görlitzer Straße 1</w:t>
                </w:r>
              </w:p>
              <w:p w14:paraId="1CF186F9" w14:textId="77777777" w:rsidR="00EE7ED8"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33758 Schloß Holte-Stukenbrock</w:t>
                </w:r>
              </w:p>
              <w:p w14:paraId="78D3B2C1" w14:textId="77777777" w:rsidR="00EE7ED8" w:rsidRPr="005602BA"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Telefoon:</w:t>
                </w:r>
                <w:r>
                  <w:rPr>
                    <w:color w:val="808080"/>
                    <w:sz w:val="14"/>
                    <w:lang w:val="nl-nl"/>
                    <w:b w:val="0"/>
                    <w:bCs w:val="0"/>
                    <w:i w:val="0"/>
                    <w:iCs w:val="0"/>
                    <w:u w:val="none"/>
                    <w:vertAlign w:val="baseline"/>
                    <w:rtl w:val="0"/>
                  </w:rPr>
                  <w:tab/>
                </w:r>
                <w:r>
                  <w:rPr>
                    <w:color w:val="808080"/>
                    <w:sz w:val="14"/>
                    <w:lang w:val="nl-nl"/>
                    <w:b w:val="0"/>
                    <w:bCs w:val="0"/>
                    <w:i w:val="0"/>
                    <w:iCs w:val="0"/>
                    <w:u w:val="none"/>
                    <w:vertAlign w:val="baseline"/>
                    <w:rtl w:val="0"/>
                  </w:rPr>
                  <w:t xml:space="preserve">+49 (0) 5207 9504-0</w:t>
                </w:r>
              </w:p>
              <w:p w14:paraId="6C7D8E12" w14:textId="77777777" w:rsidR="00EE7ED8"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Telefax:</w:t>
                </w:r>
                <w:r>
                  <w:rPr>
                    <w:color w:val="808080"/>
                    <w:sz w:val="14"/>
                    <w:lang w:val="nl-nl"/>
                    <w:b w:val="0"/>
                    <w:bCs w:val="0"/>
                    <w:i w:val="0"/>
                    <w:iCs w:val="0"/>
                    <w:u w:val="none"/>
                    <w:vertAlign w:val="baseline"/>
                    <w:rtl w:val="0"/>
                  </w:rPr>
                  <w:tab/>
                </w:r>
                <w:r>
                  <w:rPr>
                    <w:color w:val="808080"/>
                    <w:sz w:val="14"/>
                    <w:lang w:val="nl-nl"/>
                    <w:b w:val="0"/>
                    <w:bCs w:val="0"/>
                    <w:i w:val="0"/>
                    <w:iCs w:val="0"/>
                    <w:u w:val="none"/>
                    <w:vertAlign w:val="baseline"/>
                    <w:rtl w:val="0"/>
                  </w:rPr>
                  <w:t xml:space="preserve">+49 (0) 5207 9504-20</w:t>
                </w:r>
              </w:p>
              <w:p w14:paraId="27C04166" w14:textId="77777777" w:rsidR="00EE7ED8" w:rsidRPr="005602BA"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http://www.richard-brink.de</w:t>
                </w:r>
              </w:p>
              <w:p w14:paraId="1599BF72" w14:textId="77777777" w:rsidR="00EE7ED8" w:rsidRPr="00C52530"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bidi w:val="0"/>
                </w:pPr>
                <w:r>
                  <w:rPr>
                    <w:color w:val="808080"/>
                    <w:sz w:val="14"/>
                    <w:lang w:val="nl-nl"/>
                    <w:b w:val="1"/>
                    <w:bCs w:val="1"/>
                    <w:i w:val="0"/>
                    <w:iCs w:val="0"/>
                    <w:u w:val="none"/>
                    <w:vertAlign w:val="baseline"/>
                    <w:rtl w:val="0"/>
                  </w:rPr>
                  <w:t xml:space="preserve">Contactpersoon redactie:</w:t>
                </w:r>
              </w:p>
              <w:p w14:paraId="46140077" w14:textId="1EF8CE27" w:rsidR="00EE7ED8" w:rsidRDefault="00D64557" w:rsidP="009518C2">
                <w:pPr>
                  <w:pStyle w:val="Textkrper"/>
                  <w:rPr>
                    <w:rFonts w:ascii="Arial" w:hAnsi="Arial"/>
                    <w:color w:val="808080"/>
                    <w:sz w:val="14"/>
                  </w:rPr>
                  <w:bidi w:val="0"/>
                </w:pPr>
                <w:r>
                  <w:rPr>
                    <w:rFonts w:ascii="Arial" w:hAnsi="Arial"/>
                    <w:color w:val="808080"/>
                    <w:sz w:val="14"/>
                    <w:lang w:val="nl-nl"/>
                    <w:b w:val="0"/>
                    <w:bCs w:val="0"/>
                    <w:i w:val="0"/>
                    <w:iCs w:val="0"/>
                    <w:u w:val="none"/>
                    <w:vertAlign w:val="baseline"/>
                    <w:rtl w:val="0"/>
                  </w:rPr>
                  <w:t xml:space="preserve">Daniel Kraus</w:t>
                </w:r>
              </w:p>
              <w:p w14:paraId="6945D733" w14:textId="3295EEE4" w:rsidR="00D64557" w:rsidRDefault="00D64557" w:rsidP="009518C2">
                <w:pPr>
                  <w:pStyle w:val="Textkrper"/>
                  <w:rPr>
                    <w:rFonts w:ascii="Arial" w:hAnsi="Arial"/>
                    <w:color w:val="808080"/>
                    <w:sz w:val="14"/>
                  </w:rPr>
                  <w:bidi w:val="0"/>
                </w:pPr>
                <w:r>
                  <w:rPr>
                    <w:rFonts w:ascii="Arial" w:hAnsi="Arial"/>
                    <w:color w:val="808080"/>
                    <w:sz w:val="14"/>
                    <w:lang w:val="nl-nl"/>
                    <w:b w:val="0"/>
                    <w:bCs w:val="0"/>
                    <w:i w:val="0"/>
                    <w:iCs w:val="0"/>
                    <w:u w:val="none"/>
                    <w:vertAlign w:val="baseline"/>
                    <w:rtl w:val="0"/>
                  </w:rPr>
                  <w:t xml:space="preserve">Content marketing manager</w:t>
                </w:r>
              </w:p>
              <w:p w14:paraId="3CFA75CC" w14:textId="23086219" w:rsidR="00D64557" w:rsidRPr="00DB1420" w:rsidRDefault="00D64557" w:rsidP="009518C2">
                <w:pPr>
                  <w:pStyle w:val="Textkrper"/>
                  <w:rPr>
                    <w:rFonts w:ascii="Arial" w:hAnsi="Arial"/>
                    <w:color w:val="808080"/>
                    <w:sz w:val="14"/>
                  </w:rPr>
                  <w:bidi w:val="0"/>
                </w:pPr>
                <w:r>
                  <w:rPr>
                    <w:rFonts w:ascii="Arial" w:hAnsi="Arial"/>
                    <w:color w:val="808080"/>
                    <w:sz w:val="14"/>
                    <w:lang w:val="nl-nl"/>
                    <w:b w:val="0"/>
                    <w:bCs w:val="0"/>
                    <w:i w:val="0"/>
                    <w:iCs w:val="0"/>
                    <w:u w:val="none"/>
                    <w:vertAlign w:val="baseline"/>
                    <w:rtl w:val="0"/>
                  </w:rPr>
                  <w:t xml:space="preserve">daniel.kraus@richard-brink.de</w:t>
                </w:r>
              </w:p>
              <w:p w14:paraId="0862B1EC" w14:textId="77777777" w:rsidR="00EE7ED8" w:rsidRPr="00D64557" w:rsidRDefault="00EE7ED8" w:rsidP="009518C2">
                <w:pPr>
                  <w:pStyle w:val="berschrift3"/>
                  <w:tabs>
                    <w:tab w:val="left" w:pos="567"/>
                  </w:tabs>
                  <w:rPr>
                    <w:color w:val="808080"/>
                    <w:sz w:val="14"/>
                    <w:szCs w:val="14"/>
                  </w:rPr>
                </w:pPr>
              </w:p>
              <w:p w14:paraId="4D50524C" w14:textId="77777777" w:rsidR="00EE7ED8" w:rsidRPr="005602BA" w:rsidRDefault="00EE7ED8" w:rsidP="009518C2">
                <w:pPr>
                  <w:pStyle w:val="berschrift3"/>
                  <w:tabs>
                    <w:tab w:val="left" w:pos="567"/>
                  </w:tabs>
                  <w:rPr>
                    <w:color w:val="808080"/>
                    <w:sz w:val="14"/>
                    <w:szCs w:val="14"/>
                  </w:rPr>
                  <w:bidi w:val="0"/>
                </w:pPr>
                <w:r>
                  <w:rPr>
                    <w:color w:val="808080"/>
                    <w:sz w:val="14"/>
                    <w:szCs w:val="14"/>
                    <w:lang w:val="nl-nl"/>
                    <w:b w:val="1"/>
                    <w:bCs w:val="1"/>
                    <w:i w:val="0"/>
                    <w:iCs w:val="0"/>
                    <w:u w:val="none"/>
                    <w:vertAlign w:val="baseline"/>
                    <w:rtl w:val="0"/>
                  </w:rPr>
                  <w:t xml:space="preserve">Voor afdruk vrijgegeven – verzoek om kopie</w:t>
                </w:r>
              </w:p>
              <w:p w14:paraId="1D7203DB" w14:textId="77777777" w:rsidR="00EE7ED8" w:rsidRDefault="00EE7ED8" w:rsidP="00BA50C8">
                <w:pPr>
                  <w:rPr>
                    <w:sz w:val="18"/>
                  </w:rPr>
                </w:pPr>
              </w:p>
            </w:txbxContent>
          </v:textbox>
        </v:shape>
      </w:pict>
    </w:r>
    <w:r>
      <w:rPr>
        <w:noProof/>
        <w:lang w:val="nl-nl"/>
        <w:b w:val="0"/>
        <w:bCs w:val="0"/>
        <w:i w:val="0"/>
        <w:iCs w:val="0"/>
        <w:u w:val="none"/>
        <w:vertAlign w:val="baseline"/>
        <w:rtl w:val="0"/>
      </w:rPr>
      <w:fldChar w:fldCharType="begin"/>
    </w:r>
    <w:r>
      <w:rPr>
        <w:noProof/>
        <w:lang w:val="nl-nl"/>
        <w:b w:val="0"/>
        <w:bCs w:val="0"/>
        <w:i w:val="0"/>
        <w:iCs w:val="0"/>
        <w:u w:val="none"/>
        <w:vertAlign w:val="baseline"/>
        <w:rtl w:val="0"/>
      </w:rPr>
      <w:instrText xml:space="preserve"> PAGE   \* MERGEFORMAT </w:instrText>
    </w:r>
    <w:r>
      <w:rPr>
        <w:noProof/>
        <w:lang w:val="nl-nl"/>
        <w:b w:val="0"/>
        <w:bCs w:val="0"/>
        <w:i w:val="0"/>
        <w:iCs w:val="0"/>
        <w:u w:val="none"/>
        <w:vertAlign w:val="baseline"/>
        <w:rtl w:val="0"/>
      </w:rPr>
      <w:fldChar w:fldCharType="separate"/>
    </w:r>
    <w:r>
      <w:rPr>
        <w:noProof/>
        <w:lang w:val="nl-nl"/>
        <w:b w:val="0"/>
        <w:bCs w:val="0"/>
        <w:i w:val="0"/>
        <w:iCs w:val="0"/>
        <w:u w:val="none"/>
        <w:vertAlign w:val="baseline"/>
        <w:rtl w:val="0"/>
      </w:rPr>
      <w:t xml:space="preserve">1</w:t>
    </w:r>
    <w:r>
      <w:rPr>
        <w:noProof/>
        <w:lang w:val="nl-nl"/>
        <w:b w:val="0"/>
        <w:bCs w:val="0"/>
        <w:i w:val="0"/>
        <w:iCs w:val="0"/>
        <w:u w:val="none"/>
        <w:vertAlign w:val="baseline"/>
        <w:rtl w:val="0"/>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AE60" w14:textId="77777777" w:rsidR="00507B5F" w:rsidRDefault="00507B5F" w:rsidP="002D5283">
      <w:pPr>
        <w:spacing w:after="0" w:line="240" w:lineRule="auto"/>
      </w:pPr>
      <w:r>
        <w:separator/>
      </w:r>
    </w:p>
  </w:footnote>
  <w:footnote w:type="continuationSeparator" w:id="0">
    <w:p w14:paraId="59265AF3" w14:textId="77777777" w:rsidR="00507B5F" w:rsidRDefault="00507B5F"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507B5F">
    <w:pPr>
      <w:pStyle w:val="Kopfzeile"/>
      <w:rPr>
        <w:rFonts w:ascii="Verdana" w:hAnsi="Verdana"/>
        <w:color w:val="808080"/>
        <w:sz w:val="52"/>
        <w:szCs w:val="52"/>
      </w:rPr>
      <w:bidi w:val="0"/>
    </w:pPr>
    <w:r>
      <w:rPr>
        <w:rFonts w:ascii="Verdana" w:hAnsi="Verdana"/>
        <w:noProof/>
        <w:color w:val="808080"/>
        <w:sz w:val="52"/>
        <w:szCs w:val="52"/>
        <w:lang w:val="nl-nl"/>
        <w:b w:val="0"/>
        <w:bCs w:val="0"/>
        <w:i w:val="0"/>
        <w:iCs w:val="0"/>
        <w:u w:val="none"/>
        <w:vertAlign w:val="baseline"/>
        <w:rtl w:val="0"/>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pPr>
                  <w:bidi w:val="0"/>
                </w:pPr>
                <w:r>
                  <w:rPr>
                    <w:noProof/>
                    <w:lang w:val="nl-nl"/>
                    <w:b w:val="0"/>
                    <w:bCs w:val="0"/>
                    <w:i w:val="0"/>
                    <w:iCs w:val="0"/>
                    <w:u w:val="none"/>
                    <w:vertAlign w:val="baseline"/>
                    <w:rtl w:val="0"/>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56ACAD3" w:rsidR="00EE7ED8" w:rsidRPr="007D13EF" w:rsidRDefault="0053450F" w:rsidP="007D13EF">
    <w:pPr>
      <w:pStyle w:val="Kopfzeile"/>
      <w:rPr>
        <w:rFonts w:ascii="Verdana" w:hAnsi="Verdana"/>
        <w:color w:val="808080"/>
        <w:sz w:val="52"/>
        <w:szCs w:val="52"/>
      </w:rPr>
      <w:bidi w:val="0"/>
    </w:pPr>
    <w:r>
      <w:rPr>
        <w:rFonts w:ascii="Verdana" w:hAnsi="Verdana"/>
        <w:color w:val="808080"/>
        <w:sz w:val="52"/>
        <w:szCs w:val="52"/>
        <w:lang w:val="nl-nl"/>
        <w:b w:val="0"/>
        <w:bCs w:val="0"/>
        <w:i w:val="0"/>
        <w:iCs w:val="0"/>
        <w:u w:val="none"/>
        <w:vertAlign w:val="baseline"/>
        <w:rtl w:val="0"/>
      </w:rPr>
      <w:t xml:space="preserve">Bedrijfsbericht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0EA8"/>
    <w:rsid w:val="0001180C"/>
    <w:rsid w:val="0001240E"/>
    <w:rsid w:val="00013ACF"/>
    <w:rsid w:val="00013D62"/>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5FAD"/>
    <w:rsid w:val="000D7641"/>
    <w:rsid w:val="000D7C8D"/>
    <w:rsid w:val="000E0752"/>
    <w:rsid w:val="000E1085"/>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9A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3AC6"/>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2BAC"/>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2D80"/>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E0F"/>
    <w:rsid w:val="0044335B"/>
    <w:rsid w:val="00446305"/>
    <w:rsid w:val="00446C0D"/>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7B5F"/>
    <w:rsid w:val="00512946"/>
    <w:rsid w:val="0051309E"/>
    <w:rsid w:val="0051391D"/>
    <w:rsid w:val="00515500"/>
    <w:rsid w:val="00520A98"/>
    <w:rsid w:val="005218F3"/>
    <w:rsid w:val="0052247E"/>
    <w:rsid w:val="00523D08"/>
    <w:rsid w:val="00525FDF"/>
    <w:rsid w:val="005260B2"/>
    <w:rsid w:val="0053102C"/>
    <w:rsid w:val="00533D7F"/>
    <w:rsid w:val="0053450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244E"/>
    <w:rsid w:val="00577837"/>
    <w:rsid w:val="00580A45"/>
    <w:rsid w:val="00583092"/>
    <w:rsid w:val="0058428D"/>
    <w:rsid w:val="005866BB"/>
    <w:rsid w:val="005876EC"/>
    <w:rsid w:val="00591007"/>
    <w:rsid w:val="005922CE"/>
    <w:rsid w:val="00592E59"/>
    <w:rsid w:val="00595B94"/>
    <w:rsid w:val="005976D7"/>
    <w:rsid w:val="005A1777"/>
    <w:rsid w:val="005A3576"/>
    <w:rsid w:val="005A38B6"/>
    <w:rsid w:val="005A53B7"/>
    <w:rsid w:val="005B12CF"/>
    <w:rsid w:val="005B1417"/>
    <w:rsid w:val="005B1CB4"/>
    <w:rsid w:val="005B231E"/>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2517"/>
    <w:rsid w:val="00633B57"/>
    <w:rsid w:val="0063524E"/>
    <w:rsid w:val="006404DF"/>
    <w:rsid w:val="0064058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1071"/>
    <w:rsid w:val="006E4CFC"/>
    <w:rsid w:val="006E67D6"/>
    <w:rsid w:val="006F055E"/>
    <w:rsid w:val="006F2947"/>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2E21"/>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461B"/>
    <w:rsid w:val="00AC63E2"/>
    <w:rsid w:val="00AD0CE9"/>
    <w:rsid w:val="00AD2679"/>
    <w:rsid w:val="00AD2B39"/>
    <w:rsid w:val="00AD468D"/>
    <w:rsid w:val="00AD51D1"/>
    <w:rsid w:val="00AD5B4C"/>
    <w:rsid w:val="00AD6D18"/>
    <w:rsid w:val="00AD7575"/>
    <w:rsid w:val="00AE0645"/>
    <w:rsid w:val="00AE2A25"/>
    <w:rsid w:val="00AE4099"/>
    <w:rsid w:val="00AE5801"/>
    <w:rsid w:val="00AE7194"/>
    <w:rsid w:val="00AF0EB7"/>
    <w:rsid w:val="00AF31A7"/>
    <w:rsid w:val="00AF3E67"/>
    <w:rsid w:val="00AF4FEF"/>
    <w:rsid w:val="00AF7827"/>
    <w:rsid w:val="00AF7E75"/>
    <w:rsid w:val="00B00811"/>
    <w:rsid w:val="00B015A1"/>
    <w:rsid w:val="00B0361C"/>
    <w:rsid w:val="00B04EEC"/>
    <w:rsid w:val="00B050BA"/>
    <w:rsid w:val="00B05501"/>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F70"/>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1BB3"/>
    <w:rsid w:val="00E0284F"/>
    <w:rsid w:val="00E02B1F"/>
    <w:rsid w:val="00E077E3"/>
    <w:rsid w:val="00E110A2"/>
    <w:rsid w:val="00E12CA3"/>
    <w:rsid w:val="00E13804"/>
    <w:rsid w:val="00E14A86"/>
    <w:rsid w:val="00E17643"/>
    <w:rsid w:val="00E20351"/>
    <w:rsid w:val="00E20DB6"/>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20AD"/>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ode="External" Target="http://www.richard-brink.de"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4172</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229</cp:revision>
  <cp:lastPrinted>2020-02-05T14:19:00Z</cp:lastPrinted>
  <dcterms:created xsi:type="dcterms:W3CDTF">2017-07-10T11:03:00Z</dcterms:created>
  <dcterms:modified xsi:type="dcterms:W3CDTF">2022-07-11T11:06:00Z</dcterms:modified>
</cp:coreProperties>
</file>